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959B" w14:textId="0EFE635D" w:rsidR="00AB5002" w:rsidRPr="00C10517" w:rsidRDefault="00575E77" w:rsidP="00AB5002">
      <w:pPr>
        <w:pStyle w:val="Materialtyp1"/>
      </w:pPr>
      <w:r w:rsidRPr="00575E77">
        <w:rPr>
          <w:b w:val="0"/>
          <w:noProof/>
          <w:szCs w:val="24"/>
        </w:rPr>
        <mc:AlternateContent>
          <mc:Choice Requires="wps">
            <w:drawing>
              <wp:anchor distT="91440" distB="91440" distL="137160" distR="137160" simplePos="0" relativeHeight="251659776" behindDoc="1" locked="0" layoutInCell="0" allowOverlap="1" wp14:anchorId="055CF337" wp14:editId="502A65EE">
                <wp:simplePos x="0" y="0"/>
                <wp:positionH relativeFrom="margin">
                  <wp:posOffset>1923574</wp:posOffset>
                </wp:positionH>
                <wp:positionV relativeFrom="margin">
                  <wp:posOffset>-178593</wp:posOffset>
                </wp:positionV>
                <wp:extent cx="1979297" cy="5823270"/>
                <wp:effectExtent l="2223" t="0" r="4127" b="4128"/>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9297" cy="5823270"/>
                        </a:xfrm>
                        <a:prstGeom prst="roundRect">
                          <a:avLst>
                            <a:gd name="adj" fmla="val 13032"/>
                          </a:avLst>
                        </a:prstGeom>
                        <a:solidFill>
                          <a:schemeClr val="accent1"/>
                        </a:solidFill>
                      </wps:spPr>
                      <wps:txbx>
                        <w:txbxContent>
                          <w:p w14:paraId="23853EC3" w14:textId="4A186D13" w:rsidR="004C19D8" w:rsidRPr="004C19D8" w:rsidRDefault="004C19D8" w:rsidP="004C19D8">
                            <w:pPr>
                              <w:rPr>
                                <w:rFonts w:ascii="Arial" w:eastAsiaTheme="majorEastAsia" w:hAnsi="Arial" w:cs="Arial"/>
                                <w:color w:val="FFFFFF" w:themeColor="background1"/>
                                <w:sz w:val="24"/>
                                <w:szCs w:val="24"/>
                              </w:rPr>
                            </w:pPr>
                            <w:r w:rsidRPr="004C19D8">
                              <w:rPr>
                                <w:rFonts w:ascii="Arial" w:eastAsiaTheme="majorEastAsia" w:hAnsi="Arial" w:cs="Arial"/>
                                <w:b/>
                                <w:bCs/>
                                <w:color w:val="FFFFFF" w:themeColor="background1"/>
                                <w:sz w:val="24"/>
                                <w:szCs w:val="24"/>
                              </w:rPr>
                              <w:t>Ziel</w:t>
                            </w:r>
                            <w:r w:rsidRPr="004C19D8">
                              <w:rPr>
                                <w:rFonts w:ascii="Arial" w:eastAsiaTheme="majorEastAsia" w:hAnsi="Arial" w:cs="Arial"/>
                                <w:color w:val="FFFFFF" w:themeColor="background1"/>
                                <w:sz w:val="24"/>
                                <w:szCs w:val="24"/>
                              </w:rPr>
                              <w:t>: Steigerung der individuellen Datenkompetenz</w:t>
                            </w:r>
                          </w:p>
                          <w:p w14:paraId="49C57BC2" w14:textId="261D4899" w:rsidR="004C19D8" w:rsidRPr="004C19D8" w:rsidRDefault="004C19D8" w:rsidP="004C19D8">
                            <w:pPr>
                              <w:rPr>
                                <w:rFonts w:ascii="Arial" w:eastAsiaTheme="majorEastAsia" w:hAnsi="Arial" w:cs="Arial"/>
                                <w:color w:val="FFFFFF" w:themeColor="background1"/>
                                <w:sz w:val="24"/>
                                <w:szCs w:val="24"/>
                              </w:rPr>
                            </w:pPr>
                            <w:r w:rsidRPr="004C19D8">
                              <w:rPr>
                                <w:rFonts w:ascii="Arial" w:eastAsiaTheme="majorEastAsia" w:hAnsi="Arial" w:cs="Arial"/>
                                <w:b/>
                                <w:bCs/>
                                <w:color w:val="FFFFFF" w:themeColor="background1"/>
                                <w:sz w:val="24"/>
                                <w:szCs w:val="24"/>
                              </w:rPr>
                              <w:t xml:space="preserve">Benötigtes Material: </w:t>
                            </w:r>
                            <w:r w:rsidRPr="004C19D8">
                              <w:rPr>
                                <w:rFonts w:ascii="Arial" w:eastAsiaTheme="majorEastAsia" w:hAnsi="Arial" w:cs="Arial"/>
                                <w:color w:val="FFFFFF" w:themeColor="background1"/>
                                <w:sz w:val="24"/>
                                <w:szCs w:val="24"/>
                              </w:rPr>
                              <w:t>Spielmaterial, das online frei erhältlich ist und ausgedruckt werden kann (print&amp;play), sowie je nachdem Spielfiguren, Würfel, Stift und Papier</w:t>
                            </w:r>
                          </w:p>
                          <w:p w14:paraId="73522AE3" w14:textId="4C76CF20" w:rsidR="00575E77" w:rsidRPr="004C19D8" w:rsidRDefault="004C19D8" w:rsidP="004C19D8">
                            <w:pPr>
                              <w:rPr>
                                <w:rFonts w:ascii="Arial" w:eastAsiaTheme="majorEastAsia" w:hAnsi="Arial" w:cs="Arial"/>
                                <w:color w:val="FFFFFF" w:themeColor="background1"/>
                                <w:sz w:val="24"/>
                                <w:szCs w:val="24"/>
                              </w:rPr>
                            </w:pPr>
                            <w:r w:rsidRPr="004C19D8">
                              <w:rPr>
                                <w:rFonts w:ascii="Arial" w:eastAsiaTheme="majorEastAsia" w:hAnsi="Arial" w:cs="Arial"/>
                                <w:b/>
                                <w:bCs/>
                                <w:color w:val="FFFFFF" w:themeColor="background1"/>
                                <w:sz w:val="24"/>
                                <w:szCs w:val="24"/>
                              </w:rPr>
                              <w:t xml:space="preserve">Dauer: </w:t>
                            </w:r>
                            <w:r w:rsidRPr="004C19D8">
                              <w:rPr>
                                <w:rFonts w:ascii="Arial" w:eastAsiaTheme="majorEastAsia" w:hAnsi="Arial" w:cs="Arial"/>
                                <w:color w:val="FFFFFF" w:themeColor="background1"/>
                                <w:sz w:val="24"/>
                                <w:szCs w:val="24"/>
                              </w:rPr>
                              <w:t>30-60 Minuten je Spiel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5CF337" id="AutoForm 2" o:spid="_x0000_s1026" style="position:absolute;margin-left:151.45pt;margin-top:-14.05pt;width:155.85pt;height:458.55pt;rotation:90;z-index:-2516567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" o:allowincell="f" fillcolor="#4f81bd [3204]" stroked="f">
                <v:textbox>
                  <w:txbxContent>
                    <w:p w14:paraId="23853EC3" w14:textId="4A186D13" w:rsidR="004C19D8" w:rsidRPr="004C19D8" w:rsidRDefault="004C19D8" w:rsidP="004C19D8">
                      <w:pPr>
                        <w:rPr>
                          <w:rFonts w:ascii="Arial" w:eastAsiaTheme="majorEastAsia" w:hAnsi="Arial" w:cs="Arial"/>
                          <w:color w:val="FFFFFF" w:themeColor="background1"/>
                          <w:sz w:val="24"/>
                          <w:szCs w:val="24"/>
                        </w:rPr>
                      </w:pPr>
                      <w:r w:rsidRPr="004C19D8">
                        <w:rPr>
                          <w:rFonts w:ascii="Arial" w:eastAsiaTheme="majorEastAsia" w:hAnsi="Arial" w:cs="Arial"/>
                          <w:b/>
                          <w:bCs/>
                          <w:color w:val="FFFFFF" w:themeColor="background1"/>
                          <w:sz w:val="24"/>
                          <w:szCs w:val="24"/>
                        </w:rPr>
                        <w:t>Ziel</w:t>
                      </w:r>
                      <w:r w:rsidRPr="004C19D8">
                        <w:rPr>
                          <w:rFonts w:ascii="Arial" w:eastAsiaTheme="majorEastAsia" w:hAnsi="Arial" w:cs="Arial"/>
                          <w:color w:val="FFFFFF" w:themeColor="background1"/>
                          <w:sz w:val="24"/>
                          <w:szCs w:val="24"/>
                        </w:rPr>
                        <w:t>: Steigerung der individuellen Datenkompetenz</w:t>
                      </w:r>
                    </w:p>
                    <w:p w14:paraId="49C57BC2" w14:textId="261D4899" w:rsidR="004C19D8" w:rsidRPr="004C19D8" w:rsidRDefault="004C19D8" w:rsidP="004C19D8">
                      <w:pPr>
                        <w:rPr>
                          <w:rFonts w:ascii="Arial" w:eastAsiaTheme="majorEastAsia" w:hAnsi="Arial" w:cs="Arial"/>
                          <w:color w:val="FFFFFF" w:themeColor="background1"/>
                          <w:sz w:val="24"/>
                          <w:szCs w:val="24"/>
                        </w:rPr>
                      </w:pPr>
                      <w:r w:rsidRPr="004C19D8">
                        <w:rPr>
                          <w:rFonts w:ascii="Arial" w:eastAsiaTheme="majorEastAsia" w:hAnsi="Arial" w:cs="Arial"/>
                          <w:b/>
                          <w:bCs/>
                          <w:color w:val="FFFFFF" w:themeColor="background1"/>
                          <w:sz w:val="24"/>
                          <w:szCs w:val="24"/>
                        </w:rPr>
                        <w:t xml:space="preserve">Benötigtes Material: </w:t>
                      </w:r>
                      <w:r w:rsidRPr="004C19D8">
                        <w:rPr>
                          <w:rFonts w:ascii="Arial" w:eastAsiaTheme="majorEastAsia" w:hAnsi="Arial" w:cs="Arial"/>
                          <w:color w:val="FFFFFF" w:themeColor="background1"/>
                          <w:sz w:val="24"/>
                          <w:szCs w:val="24"/>
                        </w:rPr>
                        <w:t>Spielmaterial, das online frei erhältlich ist und ausgedruckt werden kann (print&amp;play), sowie je nachdem Spielfiguren, Würfel, Stift und Papier</w:t>
                      </w:r>
                    </w:p>
                    <w:p w14:paraId="73522AE3" w14:textId="4C76CF20" w:rsidR="00575E77" w:rsidRPr="004C19D8" w:rsidRDefault="004C19D8" w:rsidP="004C19D8">
                      <w:pPr>
                        <w:rPr>
                          <w:rFonts w:ascii="Arial" w:eastAsiaTheme="majorEastAsia" w:hAnsi="Arial" w:cs="Arial"/>
                          <w:color w:val="FFFFFF" w:themeColor="background1"/>
                          <w:sz w:val="24"/>
                          <w:szCs w:val="24"/>
                        </w:rPr>
                      </w:pPr>
                      <w:r w:rsidRPr="004C19D8">
                        <w:rPr>
                          <w:rFonts w:ascii="Arial" w:eastAsiaTheme="majorEastAsia" w:hAnsi="Arial" w:cs="Arial"/>
                          <w:b/>
                          <w:bCs/>
                          <w:color w:val="FFFFFF" w:themeColor="background1"/>
                          <w:sz w:val="24"/>
                          <w:szCs w:val="24"/>
                        </w:rPr>
                        <w:t xml:space="preserve">Dauer: </w:t>
                      </w:r>
                      <w:r w:rsidRPr="004C19D8">
                        <w:rPr>
                          <w:rFonts w:ascii="Arial" w:eastAsiaTheme="majorEastAsia" w:hAnsi="Arial" w:cs="Arial"/>
                          <w:color w:val="FFFFFF" w:themeColor="background1"/>
                          <w:sz w:val="24"/>
                          <w:szCs w:val="24"/>
                        </w:rPr>
                        <w:t>30-60 Minuten je Spiel</w:t>
                      </w:r>
                    </w:p>
                  </w:txbxContent>
                </v:textbox>
                <w10:wrap anchorx="margin" anchory="margin"/>
              </v:roundrect>
            </w:pict>
          </mc:Fallback>
        </mc:AlternateContent>
      </w:r>
      <w:r w:rsidR="008E237E">
        <w:t>Handlungsanleitung</w:t>
      </w:r>
    </w:p>
    <w:p w14:paraId="2D2056A4" w14:textId="58A16C13" w:rsidR="00AB5002" w:rsidRDefault="008E237E" w:rsidP="00AB5002">
      <w:pPr>
        <w:pStyle w:val="Teaser"/>
        <w:rPr>
          <w:rFonts w:eastAsia="Times New Roman"/>
          <w:bCs/>
          <w:color w:val="333333"/>
          <w:sz w:val="32"/>
          <w:szCs w:val="32"/>
        </w:rPr>
      </w:pPr>
      <w:r>
        <w:rPr>
          <w:rFonts w:eastAsia="Times New Roman"/>
          <w:bCs/>
          <w:color w:val="333333"/>
          <w:sz w:val="32"/>
          <w:szCs w:val="32"/>
        </w:rPr>
        <w:t>Mit Brett- und Kartenspielen Datenkompetenz spielerisch erwerben</w:t>
      </w:r>
    </w:p>
    <w:p w14:paraId="565170BF" w14:textId="318679E0" w:rsidR="00EF2C78" w:rsidRDefault="00575E77" w:rsidP="00AB5002">
      <w:pPr>
        <w:pStyle w:val="Flietext"/>
        <w:rPr>
          <w:b/>
          <w:szCs w:val="24"/>
        </w:rPr>
      </w:pPr>
      <w:r w:rsidRPr="00575E77">
        <w:rPr>
          <w:b/>
          <w:szCs w:val="24"/>
        </w:rPr>
        <w:t>Wir sind im Alltag von Daten umgeben und generieren sie selbst, wo immer wir einen Computer, ein Smartphone oder eine smarte Waschmaschine verwenden. Trotzdem hinterfragen wir sie selten und fühlen uns nur halb informiert. Eine Reihe von offline Lernspielen bieten Abhilfe.</w:t>
      </w:r>
    </w:p>
    <w:p w14:paraId="7214BBE5" w14:textId="5D225FE2" w:rsidR="00AE0F57" w:rsidRDefault="00AE0F57" w:rsidP="00AB5002">
      <w:pPr>
        <w:pStyle w:val="Flietext"/>
        <w:rPr>
          <w:b/>
          <w:szCs w:val="24"/>
        </w:rPr>
      </w:pPr>
    </w:p>
    <w:p w14:paraId="2A137A20" w14:textId="77777777" w:rsidR="00575E77" w:rsidRDefault="00575E77" w:rsidP="00AB5002">
      <w:pPr>
        <w:pStyle w:val="Flietext"/>
        <w:rPr>
          <w:b/>
          <w:szCs w:val="24"/>
        </w:rPr>
      </w:pPr>
    </w:p>
    <w:p w14:paraId="7E3D2F17" w14:textId="77777777" w:rsidR="00575E77" w:rsidRDefault="00575E77" w:rsidP="00AB5002">
      <w:pPr>
        <w:pStyle w:val="Flietext"/>
        <w:rPr>
          <w:b/>
          <w:szCs w:val="24"/>
        </w:rPr>
      </w:pPr>
    </w:p>
    <w:p w14:paraId="3B741451" w14:textId="77777777" w:rsidR="00575E77" w:rsidRDefault="00575E77" w:rsidP="00AB5002">
      <w:pPr>
        <w:pStyle w:val="Flietext"/>
        <w:rPr>
          <w:b/>
          <w:szCs w:val="24"/>
        </w:rPr>
      </w:pPr>
    </w:p>
    <w:p w14:paraId="76A6339A" w14:textId="77777777" w:rsidR="00575E77" w:rsidRDefault="00575E77" w:rsidP="00AB5002">
      <w:pPr>
        <w:pStyle w:val="Flietext"/>
        <w:rPr>
          <w:b/>
          <w:szCs w:val="24"/>
        </w:rPr>
      </w:pPr>
    </w:p>
    <w:p w14:paraId="3C870453" w14:textId="77777777" w:rsidR="00575E77" w:rsidRDefault="00575E77" w:rsidP="00AB5002">
      <w:pPr>
        <w:pStyle w:val="Flietext"/>
        <w:rPr>
          <w:b/>
          <w:szCs w:val="24"/>
        </w:rPr>
      </w:pPr>
    </w:p>
    <w:p w14:paraId="19AF1B1D" w14:textId="77777777" w:rsidR="00210538" w:rsidRDefault="00210538" w:rsidP="00AB5002">
      <w:pPr>
        <w:pStyle w:val="Flietext"/>
        <w:rPr>
          <w:bCs/>
          <w:szCs w:val="24"/>
        </w:rPr>
      </w:pPr>
    </w:p>
    <w:p w14:paraId="299F9BF3" w14:textId="77777777" w:rsidR="00210538" w:rsidRPr="00210538" w:rsidRDefault="00210538" w:rsidP="00210538">
      <w:pPr>
        <w:pStyle w:val="Flietext"/>
        <w:rPr>
          <w:bCs/>
          <w:szCs w:val="24"/>
        </w:rPr>
      </w:pPr>
      <w:r w:rsidRPr="00210538">
        <w:rPr>
          <w:bCs/>
          <w:szCs w:val="24"/>
        </w:rPr>
        <w:t>Die Spiele</w:t>
      </w:r>
    </w:p>
    <w:p w14:paraId="6B2E77FD" w14:textId="77777777" w:rsidR="00210538" w:rsidRPr="00210538" w:rsidRDefault="00210538" w:rsidP="00210538">
      <w:pPr>
        <w:pStyle w:val="Flietext"/>
        <w:rPr>
          <w:bCs/>
          <w:szCs w:val="24"/>
        </w:rPr>
      </w:pPr>
      <w:r w:rsidRPr="00210538">
        <w:rPr>
          <w:bCs/>
          <w:szCs w:val="24"/>
        </w:rPr>
        <w:t>Das europäische Projekt Data Literacy for Citizens (DaLi) stellt auf seiner Webseite 17 Lernspiele zur Verfügung, von denen die meisten heruntergeladen und „offline“ gespielt werden können. Die Spiele sind in deutscher, englischer, spanischer und norwegischer Sprache hinterlegt. Sie eignen sich für Erwachsene jeden Alters und machen in der jeweiligen Spielanleitung Vorschläge zur Anpassung an verschiedene Altersgruppen und Spielsituationen. Die Spiele sind für den Einsatz in Workshops zur Datenkompetenz, am Arbeitsplatz, in Erwachsenenbildungseinrichtungen, Bibliotheken u.a. gedacht, sie können je nach zeitlichem Rahmen auch kombiniert werden. Bei einem Zeitbudget von 45-60 Minuten kann ein Spiel gespielt werden, bei 90-120 Minuten sind z.B. ein kürzeres Kartenspiel und ein Brettspiel kombinierbar.</w:t>
      </w:r>
    </w:p>
    <w:p w14:paraId="70B399C8" w14:textId="229070D4" w:rsidR="00305BCF" w:rsidRDefault="00210538" w:rsidP="00210538">
      <w:pPr>
        <w:pStyle w:val="Flietext"/>
        <w:rPr>
          <w:bCs/>
          <w:szCs w:val="24"/>
        </w:rPr>
      </w:pPr>
      <w:hyperlink r:id="rId7" w:history="1">
        <w:r w:rsidRPr="00BF4683">
          <w:rPr>
            <w:rStyle w:val="Hyperlink"/>
            <w:bCs/>
            <w:szCs w:val="24"/>
          </w:rPr>
          <w:t>https://toolkit.dalicitizens.eu/</w:t>
        </w:r>
      </w:hyperlink>
    </w:p>
    <w:p w14:paraId="50D621DC" w14:textId="4E7355DD" w:rsidR="00210538" w:rsidRDefault="0021053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Pr>
          <w:bCs/>
          <w:szCs w:val="24"/>
        </w:rPr>
        <w:br w:type="page"/>
      </w:r>
    </w:p>
    <w:p w14:paraId="5FEEF37A" w14:textId="22406438" w:rsidR="00AE46C6" w:rsidRPr="0005193F" w:rsidRDefault="00724D11" w:rsidP="00AE46C6">
      <w:pPr>
        <w:spacing w:before="100" w:beforeAutospacing="1"/>
        <w:rPr>
          <w:i/>
          <w:iCs/>
        </w:rPr>
      </w:pPr>
      <w:r>
        <w:rPr>
          <w:noProof/>
        </w:rPr>
        <w:lastRenderedPageBreak/>
        <w:drawing>
          <wp:inline distT="0" distB="0" distL="0" distR="0" wp14:anchorId="1A955471" wp14:editId="6457CB87">
            <wp:extent cx="5760720" cy="3168015"/>
            <wp:effectExtent l="0" t="0" r="0" b="0"/>
            <wp:docPr id="1861518745" name="Grafik 1" descr="Ein Bild, das Text, Diagramm, Screenshot,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18745" name="Grafik 1" descr="Ein Bild, das Text, Diagramm, Screenshot, Entwurf enthält.&#10;&#10;Automatisch generierte Beschreibung"/>
                    <pic:cNvPicPr/>
                  </pic:nvPicPr>
                  <pic:blipFill>
                    <a:blip r:embed="rId8"/>
                    <a:stretch>
                      <a:fillRect/>
                    </a:stretch>
                  </pic:blipFill>
                  <pic:spPr>
                    <a:xfrm>
                      <a:off x="0" y="0"/>
                      <a:ext cx="5760720" cy="3168015"/>
                    </a:xfrm>
                    <a:prstGeom prst="rect">
                      <a:avLst/>
                    </a:prstGeom>
                  </pic:spPr>
                </pic:pic>
              </a:graphicData>
            </a:graphic>
          </wp:inline>
        </w:drawing>
      </w:r>
      <w:r w:rsidR="00AE46C6" w:rsidRPr="00AE46C6">
        <w:rPr>
          <w:i/>
          <w:iCs/>
        </w:rPr>
        <w:t xml:space="preserve"> </w:t>
      </w:r>
      <w:r w:rsidR="00AE46C6">
        <w:rPr>
          <w:i/>
          <w:iCs/>
        </w:rPr>
        <w:t xml:space="preserve">Die DaLi-Spiele ermöglichen das spielerische Erlernen von Datenkompetenz </w:t>
      </w:r>
      <w:r w:rsidR="00AE46C6" w:rsidRPr="0005193F">
        <w:rPr>
          <w:i/>
          <w:iCs/>
        </w:rPr>
        <w:t>(Bild:</w:t>
      </w:r>
      <w:r w:rsidR="00AE46C6">
        <w:rPr>
          <w:i/>
          <w:iCs/>
        </w:rPr>
        <w:t xml:space="preserve"> DaLi-Projekt </w:t>
      </w:r>
      <w:hyperlink r:id="rId9" w:tgtFrame="_blank" w:history="1">
        <w:r w:rsidR="00AE46C6" w:rsidRPr="000B061D">
          <w:rPr>
            <w:rStyle w:val="Hyperlink"/>
            <w:i/>
            <w:iCs/>
          </w:rPr>
          <w:t>CC BY.SA 4.0</w:t>
        </w:r>
      </w:hyperlink>
      <w:r w:rsidR="00AE46C6" w:rsidRPr="0005193F">
        <w:rPr>
          <w:i/>
          <w:iCs/>
        </w:rPr>
        <w:t>)</w:t>
      </w:r>
    </w:p>
    <w:p w14:paraId="4D041778" w14:textId="77777777" w:rsidR="001B44B8" w:rsidRPr="001B44B8" w:rsidRDefault="001B44B8" w:rsidP="001B44B8">
      <w:pPr>
        <w:pStyle w:val="Flietext"/>
        <w:rPr>
          <w:b/>
          <w:bCs/>
          <w:szCs w:val="24"/>
        </w:rPr>
      </w:pPr>
      <w:r w:rsidRPr="001B44B8">
        <w:rPr>
          <w:b/>
          <w:bCs/>
          <w:szCs w:val="24"/>
        </w:rPr>
        <w:t>Die Spielmoderation</w:t>
      </w:r>
    </w:p>
    <w:p w14:paraId="310523C5" w14:textId="771609A4" w:rsidR="001B44B8" w:rsidRPr="001B44B8" w:rsidRDefault="001B44B8" w:rsidP="001B44B8">
      <w:pPr>
        <w:pStyle w:val="Flietext"/>
        <w:rPr>
          <w:bCs/>
          <w:szCs w:val="24"/>
        </w:rPr>
      </w:pPr>
      <w:r w:rsidRPr="001B44B8">
        <w:rPr>
          <w:bCs/>
          <w:szCs w:val="24"/>
        </w:rPr>
        <w:t>Das Spiel der Teilnehmenden wird von Ihnen moderierend begleitet. Sie führen in das Spiel ein und verfolgen den Spielverlauf. Die Moderationsrolle ist wichtig, da es immer eine Herausforderung ist, ein Spiel zum ersten Mal zu spielen und da eventuell nicht alle Teilnehmenden große Spielerfahrung mitbringen. Außerdem lassen sich die Spiele je nach Spielsituation und Konstellation der Gruppe(n) variabel spielen (z.B. mehr kooperativ oder mehr kompetitiv, mit oder ohne extra Herausforderungen), was die Spielmoderation vorab oder auch noch während des Spiels klären und steuern kann. Für Spielmoderator*innen steht ein Leitfaden zur Verfügung, der in die Spiele einführt</w:t>
      </w:r>
      <w:r w:rsidR="00EC6FEF">
        <w:rPr>
          <w:bCs/>
          <w:szCs w:val="24"/>
        </w:rPr>
        <w:t>,</w:t>
      </w:r>
      <w:r w:rsidRPr="001B44B8">
        <w:rPr>
          <w:bCs/>
          <w:szCs w:val="24"/>
        </w:rPr>
        <w:t xml:space="preserve"> sowie Vorschläge zur Moderation macht und der ausgedruckt werden kann (</w:t>
      </w:r>
      <w:hyperlink r:id="rId10" w:history="1">
        <w:r w:rsidRPr="001B44B8">
          <w:rPr>
            <w:rStyle w:val="Hyperlink"/>
            <w:bCs/>
            <w:szCs w:val="24"/>
          </w:rPr>
          <w:t>Leitfaden Spielmoderation</w:t>
        </w:r>
      </w:hyperlink>
      <w:r w:rsidRPr="001B44B8">
        <w:rPr>
          <w:bCs/>
          <w:szCs w:val="24"/>
        </w:rPr>
        <w:t>).</w:t>
      </w:r>
    </w:p>
    <w:p w14:paraId="2D3A19DB" w14:textId="77777777" w:rsidR="001B44B8" w:rsidRPr="001B44B8" w:rsidRDefault="001B44B8" w:rsidP="001B44B8">
      <w:pPr>
        <w:pStyle w:val="Flietext"/>
        <w:rPr>
          <w:b/>
          <w:bCs/>
          <w:szCs w:val="24"/>
        </w:rPr>
      </w:pPr>
      <w:r w:rsidRPr="001B44B8">
        <w:rPr>
          <w:b/>
          <w:bCs/>
          <w:szCs w:val="24"/>
        </w:rPr>
        <w:t>Der organisatorische Rahmen</w:t>
      </w:r>
    </w:p>
    <w:p w14:paraId="28FE9F81" w14:textId="77777777" w:rsidR="001B44B8" w:rsidRPr="001B44B8" w:rsidRDefault="001B44B8" w:rsidP="001B44B8">
      <w:pPr>
        <w:pStyle w:val="Flietext"/>
        <w:rPr>
          <w:bCs/>
          <w:szCs w:val="24"/>
        </w:rPr>
      </w:pPr>
      <w:r w:rsidRPr="001B44B8">
        <w:rPr>
          <w:bCs/>
          <w:szCs w:val="24"/>
        </w:rPr>
        <w:t xml:space="preserve">Ein Spieleworkshop wird mit Informationen zum Spiel und einer kurzen Abfrage des Wissensstands vor- und nachher (vorher: Was wissen Sie über Ihre Daten? nachher: Was haben Sie gelernt?) ein- und ausgeleitet. Der </w:t>
      </w:r>
      <w:hyperlink r:id="rId11" w:history="1">
        <w:r w:rsidRPr="001B44B8">
          <w:rPr>
            <w:rStyle w:val="Hyperlink"/>
            <w:bCs/>
            <w:szCs w:val="24"/>
          </w:rPr>
          <w:t>Leitfaden Spielmoderation</w:t>
        </w:r>
      </w:hyperlink>
      <w:r w:rsidRPr="001B44B8">
        <w:rPr>
          <w:bCs/>
          <w:szCs w:val="24"/>
        </w:rPr>
        <w:t xml:space="preserve"> macht Vorschläge dazu und ist vor allem dann hilfreich, wenn Sie zum ersten Mal moderieren.</w:t>
      </w:r>
    </w:p>
    <w:p w14:paraId="79EECE20" w14:textId="3C6C9660" w:rsidR="00AB5002" w:rsidRDefault="008C5208" w:rsidP="00AB5002">
      <w:pPr>
        <w:pStyle w:val="Flietext"/>
        <w:rPr>
          <w:b/>
          <w:szCs w:val="24"/>
        </w:rPr>
      </w:pPr>
      <w:r>
        <w:rPr>
          <w:b/>
          <w:szCs w:val="24"/>
        </w:rPr>
        <w:lastRenderedPageBreak/>
        <w:t>Informationen zum Projekt DaLi</w:t>
      </w:r>
    </w:p>
    <w:p w14:paraId="3BFE7DEF" w14:textId="77777777" w:rsidR="00E06476" w:rsidRPr="00E06476" w:rsidRDefault="00E06476" w:rsidP="00E06476">
      <w:pPr>
        <w:pStyle w:val="Flietext"/>
        <w:rPr>
          <w:bCs/>
          <w:szCs w:val="24"/>
        </w:rPr>
      </w:pPr>
      <w:r w:rsidRPr="00E06476">
        <w:rPr>
          <w:bCs/>
          <w:szCs w:val="24"/>
        </w:rPr>
        <w:t>https://dalicitizens.eu</w:t>
      </w:r>
    </w:p>
    <w:p w14:paraId="2D321204" w14:textId="77777777" w:rsidR="00E06476" w:rsidRPr="00E06476" w:rsidRDefault="00E06476" w:rsidP="00E06476">
      <w:pPr>
        <w:pStyle w:val="Flietext"/>
        <w:rPr>
          <w:b/>
          <w:bCs/>
          <w:szCs w:val="24"/>
        </w:rPr>
      </w:pPr>
      <w:r w:rsidRPr="00E06476">
        <w:rPr>
          <w:b/>
          <w:bCs/>
          <w:szCs w:val="24"/>
        </w:rPr>
        <w:t>Haftungsausschluss</w:t>
      </w:r>
    </w:p>
    <w:p w14:paraId="74E9F546" w14:textId="77777777" w:rsidR="00E06476" w:rsidRPr="00E06476" w:rsidRDefault="00E06476" w:rsidP="00E06476">
      <w:pPr>
        <w:pStyle w:val="Flietext"/>
        <w:rPr>
          <w:bCs/>
          <w:szCs w:val="24"/>
        </w:rPr>
      </w:pPr>
      <w:r w:rsidRPr="00E06476">
        <w:rPr>
          <w:bCs/>
          <w:szCs w:val="24"/>
        </w:rPr>
        <w:t>Das Projekt wurde mit Unterstützung der Europäischen Kommission finanziert. Diese Veröffentlichung gibt nur die Meinung der Verfasser/innen wieder, und die Kommission kann nicht für die Verwendung der darin enthaltenen Informationen haftbar gemacht werden.</w:t>
      </w:r>
    </w:p>
    <w:p w14:paraId="4E7365C1" w14:textId="77777777" w:rsidR="00E06476" w:rsidRPr="00E06476" w:rsidRDefault="00E06476" w:rsidP="00E06476">
      <w:pPr>
        <w:pStyle w:val="Flietext"/>
        <w:rPr>
          <w:bCs/>
          <w:szCs w:val="24"/>
        </w:rPr>
      </w:pPr>
      <w:r w:rsidRPr="00E06476">
        <w:rPr>
          <w:bCs/>
          <w:szCs w:val="24"/>
        </w:rPr>
        <w:t>Projektnummer: 020-1-NO01-KA204-076492</w:t>
      </w:r>
    </w:p>
    <w:p w14:paraId="1EEA5B34" w14:textId="1643A430" w:rsidR="00136AD6" w:rsidRDefault="00136AD6" w:rsidP="00AB5002">
      <w:pPr>
        <w:pStyle w:val="Flietext"/>
        <w:rPr>
          <w:bCs/>
          <w:szCs w:val="24"/>
        </w:rPr>
      </w:pPr>
    </w:p>
    <w:p w14:paraId="55E2E69C" w14:textId="77777777" w:rsidR="00586549" w:rsidRPr="000729AC" w:rsidRDefault="00586549" w:rsidP="00AB5002">
      <w:pPr>
        <w:pStyle w:val="Flietext"/>
        <w:rPr>
          <w:bCs/>
          <w:szCs w:val="24"/>
        </w:rPr>
      </w:pPr>
    </w:p>
    <w:p w14:paraId="01CF98B8" w14:textId="17950C13" w:rsidR="009501E7" w:rsidRPr="00C66F0E" w:rsidRDefault="009501E7" w:rsidP="00AB5002">
      <w:pPr>
        <w:pStyle w:val="Flietext"/>
        <w:rPr>
          <w:bCs/>
          <w:i/>
          <w:iCs/>
          <w:szCs w:val="24"/>
        </w:rPr>
      </w:pPr>
      <w:r w:rsidRPr="00C66F0E">
        <w:rPr>
          <w:bCs/>
          <w:i/>
          <w:iCs/>
          <w:szCs w:val="24"/>
        </w:rPr>
        <w:t xml:space="preserve">CC BY-SA </w:t>
      </w:r>
      <w:r w:rsidR="00E06476">
        <w:rPr>
          <w:bCs/>
          <w:i/>
          <w:iCs/>
          <w:szCs w:val="24"/>
        </w:rPr>
        <w:t>4</w:t>
      </w:r>
      <w:r w:rsidRPr="00C66F0E">
        <w:rPr>
          <w:bCs/>
          <w:i/>
          <w:iCs/>
          <w:szCs w:val="24"/>
        </w:rPr>
        <w:t xml:space="preserve">.0 DE </w:t>
      </w:r>
      <w:r w:rsidR="00E06476">
        <w:rPr>
          <w:bCs/>
          <w:i/>
          <w:iCs/>
          <w:szCs w:val="24"/>
        </w:rPr>
        <w:t xml:space="preserve">von </w:t>
      </w:r>
      <w:r w:rsidR="00E06476" w:rsidRPr="00E06476">
        <w:rPr>
          <w:b/>
          <w:i/>
          <w:iCs/>
          <w:szCs w:val="24"/>
        </w:rPr>
        <w:t>Dr. Ruth Maloszek</w:t>
      </w:r>
      <w:r w:rsidRPr="00C66F0E">
        <w:rPr>
          <w:bCs/>
          <w:i/>
          <w:iCs/>
          <w:szCs w:val="24"/>
        </w:rPr>
        <w:t xml:space="preserve"> für </w:t>
      </w:r>
      <w:r w:rsidRPr="00E06476">
        <w:rPr>
          <w:b/>
          <w:i/>
          <w:iCs/>
          <w:szCs w:val="24"/>
        </w:rPr>
        <w:t>wb-web</w:t>
      </w:r>
      <w:r w:rsidRPr="00C66F0E">
        <w:rPr>
          <w:bCs/>
          <w:i/>
          <w:iCs/>
          <w:szCs w:val="24"/>
        </w:rPr>
        <w:t xml:space="preserve"> (</w:t>
      </w:r>
      <w:r w:rsidR="00E06476">
        <w:rPr>
          <w:bCs/>
          <w:i/>
          <w:iCs/>
          <w:szCs w:val="24"/>
        </w:rPr>
        <w:t>Dezember 2023</w:t>
      </w:r>
      <w:r w:rsidRPr="00C66F0E">
        <w:rPr>
          <w:bCs/>
          <w:i/>
          <w:iCs/>
          <w:szCs w:val="24"/>
        </w:rPr>
        <w:t>)</w:t>
      </w:r>
    </w:p>
    <w:p w14:paraId="2E9FD24C" w14:textId="77777777" w:rsidR="009501E7" w:rsidRDefault="009501E7" w:rsidP="00AB5002">
      <w:pPr>
        <w:pStyle w:val="Flietext"/>
        <w:rPr>
          <w:bCs/>
          <w:szCs w:val="24"/>
        </w:rPr>
      </w:pPr>
    </w:p>
    <w:p w14:paraId="1D4D947B" w14:textId="489B8491" w:rsidR="00E06476" w:rsidRPr="00C66F0E" w:rsidRDefault="00E06476" w:rsidP="00AB5002">
      <w:pPr>
        <w:pStyle w:val="Flietext"/>
        <w:rPr>
          <w:bCs/>
          <w:szCs w:val="24"/>
        </w:rPr>
      </w:pPr>
      <w:r w:rsidRPr="001B44B8">
        <w:rPr>
          <w:bCs/>
          <w:i/>
          <w:iCs/>
          <w:szCs w:val="24"/>
        </w:rPr>
        <w:t>Dr. Ruth Maloszek, Projektmanagerin, studierte Geschichtswissenschaften, VWL und Politik an den Universitäten Marburg und Hamburg. Nach zwölf Jahren Auslandstätigkeit an Hochschulen in Osteuropa ist sie jetzt in Bildungs- und Vernetzungsprojekten an der Friedrich-Alexander-Universität Erlangen-Nürnberg tätig. Lebenslanges Lernen ist ihre Leidenschaft und Mission</w:t>
      </w:r>
      <w:r>
        <w:rPr>
          <w:bCs/>
          <w:i/>
          <w:iCs/>
          <w:szCs w:val="24"/>
        </w:rPr>
        <w:t>.</w:t>
      </w:r>
    </w:p>
    <w:sectPr w:rsidR="00E06476" w:rsidRPr="00C66F0E" w:rsidSect="008621EC">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76F8" w14:textId="77777777" w:rsidR="006D35E4" w:rsidRDefault="006D35E4">
      <w:pPr>
        <w:spacing w:after="0" w:line="240" w:lineRule="auto"/>
      </w:pPr>
      <w:r>
        <w:separator/>
      </w:r>
    </w:p>
  </w:endnote>
  <w:endnote w:type="continuationSeparator" w:id="0">
    <w:p w14:paraId="0DF1CB36" w14:textId="77777777" w:rsidR="006D35E4" w:rsidRDefault="006D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26A6F24" wp14:editId="48365A78">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0C72" w14:textId="77777777" w:rsidR="006D35E4" w:rsidRDefault="006D35E4">
      <w:pPr>
        <w:spacing w:after="0" w:line="240" w:lineRule="auto"/>
      </w:pPr>
      <w:r>
        <w:separator/>
      </w:r>
    </w:p>
  </w:footnote>
  <w:footnote w:type="continuationSeparator" w:id="0">
    <w:p w14:paraId="1C3AA5D3" w14:textId="77777777" w:rsidR="006D35E4" w:rsidRDefault="006D3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43F168DF"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000000"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22CB4" id="_x0000_t202" coordsize="21600,21600" o:spt="202" path="m,l,21600r21600,l21600,xe">
              <v:stroke joinstyle="miter"/>
              <v:path gradientshapeok="t" o:connecttype="rect"/>
            </v:shapetype>
            <v:shape id="Textfeld 2" o:spid="_x0000_s1027"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77777777" w:rsidR="00856760" w:rsidRPr="00AC2223" w:rsidRDefault="00000000"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926C0"/>
    <w:multiLevelType w:val="hybridMultilevel"/>
    <w:tmpl w:val="B17ECF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968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02"/>
    <w:rsid w:val="0000499F"/>
    <w:rsid w:val="000118EC"/>
    <w:rsid w:val="00037651"/>
    <w:rsid w:val="00051A52"/>
    <w:rsid w:val="000729AC"/>
    <w:rsid w:val="00074185"/>
    <w:rsid w:val="00076650"/>
    <w:rsid w:val="00081707"/>
    <w:rsid w:val="0008391F"/>
    <w:rsid w:val="000A1D4D"/>
    <w:rsid w:val="000D23A5"/>
    <w:rsid w:val="000E3CB5"/>
    <w:rsid w:val="00100275"/>
    <w:rsid w:val="0010083D"/>
    <w:rsid w:val="00123148"/>
    <w:rsid w:val="00136AD6"/>
    <w:rsid w:val="00141861"/>
    <w:rsid w:val="00175089"/>
    <w:rsid w:val="00192F1B"/>
    <w:rsid w:val="001B44B8"/>
    <w:rsid w:val="001B723D"/>
    <w:rsid w:val="001D7262"/>
    <w:rsid w:val="001E6A89"/>
    <w:rsid w:val="001F7B7B"/>
    <w:rsid w:val="00202354"/>
    <w:rsid w:val="00210538"/>
    <w:rsid w:val="0022238C"/>
    <w:rsid w:val="002279CE"/>
    <w:rsid w:val="002469EB"/>
    <w:rsid w:val="002667BC"/>
    <w:rsid w:val="00270F94"/>
    <w:rsid w:val="00294BA8"/>
    <w:rsid w:val="002C036C"/>
    <w:rsid w:val="002C1DF7"/>
    <w:rsid w:val="002F0CBA"/>
    <w:rsid w:val="002F2066"/>
    <w:rsid w:val="002F29AD"/>
    <w:rsid w:val="00305BCF"/>
    <w:rsid w:val="003268AF"/>
    <w:rsid w:val="00343E88"/>
    <w:rsid w:val="0034573D"/>
    <w:rsid w:val="00357100"/>
    <w:rsid w:val="0036618D"/>
    <w:rsid w:val="00392B7F"/>
    <w:rsid w:val="003A676F"/>
    <w:rsid w:val="003B21EF"/>
    <w:rsid w:val="003B78C3"/>
    <w:rsid w:val="00404DA6"/>
    <w:rsid w:val="00423ABD"/>
    <w:rsid w:val="00443B30"/>
    <w:rsid w:val="00445E0F"/>
    <w:rsid w:val="00446BC0"/>
    <w:rsid w:val="00447622"/>
    <w:rsid w:val="00461A48"/>
    <w:rsid w:val="004945B2"/>
    <w:rsid w:val="004A3224"/>
    <w:rsid w:val="004C19D8"/>
    <w:rsid w:val="004E290D"/>
    <w:rsid w:val="004E572F"/>
    <w:rsid w:val="00500322"/>
    <w:rsid w:val="00523D32"/>
    <w:rsid w:val="00524F92"/>
    <w:rsid w:val="00527571"/>
    <w:rsid w:val="005422DE"/>
    <w:rsid w:val="0055532B"/>
    <w:rsid w:val="00575E77"/>
    <w:rsid w:val="00576A64"/>
    <w:rsid w:val="00586549"/>
    <w:rsid w:val="00587B27"/>
    <w:rsid w:val="005957EE"/>
    <w:rsid w:val="005B330A"/>
    <w:rsid w:val="005E3AB1"/>
    <w:rsid w:val="005E5417"/>
    <w:rsid w:val="00602132"/>
    <w:rsid w:val="00604CB7"/>
    <w:rsid w:val="006143B0"/>
    <w:rsid w:val="006441EF"/>
    <w:rsid w:val="00677DF4"/>
    <w:rsid w:val="006870A2"/>
    <w:rsid w:val="006A6FEF"/>
    <w:rsid w:val="006B5FA3"/>
    <w:rsid w:val="006C0F22"/>
    <w:rsid w:val="006D35E4"/>
    <w:rsid w:val="006F1510"/>
    <w:rsid w:val="006F1C87"/>
    <w:rsid w:val="0071163A"/>
    <w:rsid w:val="007176F1"/>
    <w:rsid w:val="00723789"/>
    <w:rsid w:val="00724D11"/>
    <w:rsid w:val="00724F19"/>
    <w:rsid w:val="00726A69"/>
    <w:rsid w:val="00743687"/>
    <w:rsid w:val="00755F5D"/>
    <w:rsid w:val="00757288"/>
    <w:rsid w:val="00783CCC"/>
    <w:rsid w:val="007842A9"/>
    <w:rsid w:val="007952EE"/>
    <w:rsid w:val="00796E12"/>
    <w:rsid w:val="007B0CA4"/>
    <w:rsid w:val="007B3B73"/>
    <w:rsid w:val="007B6244"/>
    <w:rsid w:val="007E00D8"/>
    <w:rsid w:val="008301E9"/>
    <w:rsid w:val="00833A86"/>
    <w:rsid w:val="00841781"/>
    <w:rsid w:val="008509A8"/>
    <w:rsid w:val="00856760"/>
    <w:rsid w:val="008621EC"/>
    <w:rsid w:val="00873A15"/>
    <w:rsid w:val="00880297"/>
    <w:rsid w:val="008C5208"/>
    <w:rsid w:val="008D4DA2"/>
    <w:rsid w:val="008E237E"/>
    <w:rsid w:val="008E3875"/>
    <w:rsid w:val="00934F53"/>
    <w:rsid w:val="009501E7"/>
    <w:rsid w:val="009774CB"/>
    <w:rsid w:val="00984059"/>
    <w:rsid w:val="009A0C6B"/>
    <w:rsid w:val="009F45EF"/>
    <w:rsid w:val="00A03051"/>
    <w:rsid w:val="00A03782"/>
    <w:rsid w:val="00A03E44"/>
    <w:rsid w:val="00A14FB9"/>
    <w:rsid w:val="00A26BA5"/>
    <w:rsid w:val="00A33A96"/>
    <w:rsid w:val="00A37403"/>
    <w:rsid w:val="00A451FD"/>
    <w:rsid w:val="00A512CB"/>
    <w:rsid w:val="00A679C5"/>
    <w:rsid w:val="00A84935"/>
    <w:rsid w:val="00AA5596"/>
    <w:rsid w:val="00AB5002"/>
    <w:rsid w:val="00AC78C0"/>
    <w:rsid w:val="00AD557E"/>
    <w:rsid w:val="00AE0F57"/>
    <w:rsid w:val="00AE46C6"/>
    <w:rsid w:val="00AE52CC"/>
    <w:rsid w:val="00B00590"/>
    <w:rsid w:val="00B43127"/>
    <w:rsid w:val="00B70E94"/>
    <w:rsid w:val="00B757C8"/>
    <w:rsid w:val="00B76962"/>
    <w:rsid w:val="00B93553"/>
    <w:rsid w:val="00B93B30"/>
    <w:rsid w:val="00BA109E"/>
    <w:rsid w:val="00BB1202"/>
    <w:rsid w:val="00BB36FF"/>
    <w:rsid w:val="00BC424D"/>
    <w:rsid w:val="00BD4148"/>
    <w:rsid w:val="00BF1B70"/>
    <w:rsid w:val="00C21938"/>
    <w:rsid w:val="00C34C00"/>
    <w:rsid w:val="00C40761"/>
    <w:rsid w:val="00C40D56"/>
    <w:rsid w:val="00C65A35"/>
    <w:rsid w:val="00C66F0E"/>
    <w:rsid w:val="00C811FC"/>
    <w:rsid w:val="00CA3518"/>
    <w:rsid w:val="00CA4BBF"/>
    <w:rsid w:val="00CD2FAA"/>
    <w:rsid w:val="00CF1F06"/>
    <w:rsid w:val="00CF7D5F"/>
    <w:rsid w:val="00D15A44"/>
    <w:rsid w:val="00D22086"/>
    <w:rsid w:val="00D55984"/>
    <w:rsid w:val="00D83C86"/>
    <w:rsid w:val="00D9563D"/>
    <w:rsid w:val="00DB12B7"/>
    <w:rsid w:val="00DB1DA3"/>
    <w:rsid w:val="00DB4F24"/>
    <w:rsid w:val="00DC4832"/>
    <w:rsid w:val="00DE65E0"/>
    <w:rsid w:val="00E06476"/>
    <w:rsid w:val="00E30470"/>
    <w:rsid w:val="00E53294"/>
    <w:rsid w:val="00E5546C"/>
    <w:rsid w:val="00E57B31"/>
    <w:rsid w:val="00E73344"/>
    <w:rsid w:val="00E87C1C"/>
    <w:rsid w:val="00EC5E89"/>
    <w:rsid w:val="00EC6FEF"/>
    <w:rsid w:val="00EE0ED2"/>
    <w:rsid w:val="00EF2C78"/>
    <w:rsid w:val="00F1660B"/>
    <w:rsid w:val="00F3307C"/>
    <w:rsid w:val="00F35484"/>
    <w:rsid w:val="00F40A92"/>
    <w:rsid w:val="00F506AF"/>
    <w:rsid w:val="00F71DC6"/>
    <w:rsid w:val="00F771D3"/>
    <w:rsid w:val="00F87E70"/>
    <w:rsid w:val="00F934CF"/>
    <w:rsid w:val="00FA4254"/>
    <w:rsid w:val="00FC7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670C"/>
  <w15:docId w15:val="{D0645288-FE56-483A-B31C-E24313B2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StandardWeb">
    <w:name w:val="Normal (Web)"/>
    <w:basedOn w:val="Standard"/>
    <w:uiPriority w:val="99"/>
    <w:unhideWhenUsed/>
    <w:rsid w:val="006C0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howhighlight">
    <w:name w:val="showhighlight"/>
    <w:basedOn w:val="Absatz-Standardschriftart"/>
    <w:rsid w:val="006C0F22"/>
  </w:style>
  <w:style w:type="paragraph" w:styleId="Beschriftung">
    <w:name w:val="caption"/>
    <w:basedOn w:val="Standard"/>
    <w:next w:val="Standard"/>
    <w:uiPriority w:val="35"/>
    <w:unhideWhenUsed/>
    <w:qFormat/>
    <w:rsid w:val="006A6FEF"/>
    <w:pPr>
      <w:spacing w:line="240" w:lineRule="auto"/>
    </w:pPr>
    <w:rPr>
      <w:b/>
      <w:bCs/>
      <w:color w:val="4F81BD" w:themeColor="accent1"/>
      <w:sz w:val="18"/>
      <w:szCs w:val="18"/>
    </w:rPr>
  </w:style>
  <w:style w:type="paragraph" w:styleId="berarbeitung">
    <w:name w:val="Revision"/>
    <w:hidden/>
    <w:uiPriority w:val="99"/>
    <w:semiHidden/>
    <w:rsid w:val="00DB1DA3"/>
    <w:pPr>
      <w:spacing w:after="0" w:line="240" w:lineRule="auto"/>
    </w:pPr>
    <w:rPr>
      <w:rFonts w:ascii="Calibri" w:eastAsia="Calibri" w:hAnsi="Calibri" w:cs="Calibri"/>
      <w:color w:val="000000"/>
      <w:u w:color="000000"/>
      <w:bdr w:val="nil"/>
      <w:lang w:eastAsia="de-DE"/>
    </w:rPr>
  </w:style>
  <w:style w:type="character" w:styleId="Fett">
    <w:name w:val="Strong"/>
    <w:basedOn w:val="Absatz-Standardschriftart"/>
    <w:uiPriority w:val="22"/>
    <w:qFormat/>
    <w:rsid w:val="00EF2C78"/>
    <w:rPr>
      <w:b/>
      <w:bCs/>
    </w:rPr>
  </w:style>
  <w:style w:type="character" w:styleId="NichtaufgelsteErwhnung">
    <w:name w:val="Unresolved Mention"/>
    <w:basedOn w:val="Absatz-Standardschriftart"/>
    <w:uiPriority w:val="99"/>
    <w:semiHidden/>
    <w:unhideWhenUsed/>
    <w:rsid w:val="00072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20184">
      <w:bodyDiv w:val="1"/>
      <w:marLeft w:val="0"/>
      <w:marRight w:val="0"/>
      <w:marTop w:val="0"/>
      <w:marBottom w:val="0"/>
      <w:divBdr>
        <w:top w:val="none" w:sz="0" w:space="0" w:color="auto"/>
        <w:left w:val="none" w:sz="0" w:space="0" w:color="auto"/>
        <w:bottom w:val="none" w:sz="0" w:space="0" w:color="auto"/>
        <w:right w:val="none" w:sz="0" w:space="0" w:color="auto"/>
      </w:divBdr>
    </w:div>
    <w:div w:id="638657826">
      <w:bodyDiv w:val="1"/>
      <w:marLeft w:val="0"/>
      <w:marRight w:val="0"/>
      <w:marTop w:val="0"/>
      <w:marBottom w:val="0"/>
      <w:divBdr>
        <w:top w:val="none" w:sz="0" w:space="0" w:color="auto"/>
        <w:left w:val="none" w:sz="0" w:space="0" w:color="auto"/>
        <w:bottom w:val="none" w:sz="0" w:space="0" w:color="auto"/>
        <w:right w:val="none" w:sz="0" w:space="0" w:color="auto"/>
      </w:divBdr>
    </w:div>
    <w:div w:id="919753100">
      <w:bodyDiv w:val="1"/>
      <w:marLeft w:val="0"/>
      <w:marRight w:val="0"/>
      <w:marTop w:val="0"/>
      <w:marBottom w:val="0"/>
      <w:divBdr>
        <w:top w:val="none" w:sz="0" w:space="0" w:color="auto"/>
        <w:left w:val="none" w:sz="0" w:space="0" w:color="auto"/>
        <w:bottom w:val="none" w:sz="0" w:space="0" w:color="auto"/>
        <w:right w:val="none" w:sz="0" w:space="0" w:color="auto"/>
      </w:divBdr>
    </w:div>
    <w:div w:id="1050151140">
      <w:bodyDiv w:val="1"/>
      <w:marLeft w:val="0"/>
      <w:marRight w:val="0"/>
      <w:marTop w:val="0"/>
      <w:marBottom w:val="0"/>
      <w:divBdr>
        <w:top w:val="none" w:sz="0" w:space="0" w:color="auto"/>
        <w:left w:val="none" w:sz="0" w:space="0" w:color="auto"/>
        <w:bottom w:val="none" w:sz="0" w:space="0" w:color="auto"/>
        <w:right w:val="none" w:sz="0" w:space="0" w:color="auto"/>
      </w:divBdr>
    </w:div>
    <w:div w:id="1219976141">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
    <w:div w:id="1369451874">
      <w:bodyDiv w:val="1"/>
      <w:marLeft w:val="0"/>
      <w:marRight w:val="0"/>
      <w:marTop w:val="0"/>
      <w:marBottom w:val="0"/>
      <w:divBdr>
        <w:top w:val="none" w:sz="0" w:space="0" w:color="auto"/>
        <w:left w:val="none" w:sz="0" w:space="0" w:color="auto"/>
        <w:bottom w:val="none" w:sz="0" w:space="0" w:color="auto"/>
        <w:right w:val="none" w:sz="0" w:space="0" w:color="auto"/>
      </w:divBdr>
    </w:div>
    <w:div w:id="15787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olkit.dalicitizens.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kit.dalicitizens.eu/for-facilitat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oolkit.dalicitizens.eu/for-facilitators"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Witt, Susanne</cp:lastModifiedBy>
  <cp:revision>14</cp:revision>
  <dcterms:created xsi:type="dcterms:W3CDTF">2023-12-04T14:34:00Z</dcterms:created>
  <dcterms:modified xsi:type="dcterms:W3CDTF">2023-12-04T14:42:00Z</dcterms:modified>
</cp:coreProperties>
</file>