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417E" w14:textId="77777777" w:rsidR="008D18FA" w:rsidRDefault="008D18FA" w:rsidP="00492075">
      <w:pPr>
        <w:pStyle w:val="Materialtyp1"/>
      </w:pPr>
      <w:r>
        <w:t>Buchvorstellung:</w:t>
      </w:r>
    </w:p>
    <w:p w14:paraId="545B4180" w14:textId="4FB48586" w:rsidR="008D18FA" w:rsidRPr="00084A4B" w:rsidRDefault="00EB205D" w:rsidP="00492075">
      <w:pPr>
        <w:pStyle w:val="Headline"/>
      </w:pPr>
      <w:r>
        <w:t xml:space="preserve">Binnendifferenzierung bei </w:t>
      </w:r>
      <w:proofErr w:type="spellStart"/>
      <w:r>
        <w:t>DaZ</w:t>
      </w:r>
      <w:proofErr w:type="spellEnd"/>
      <w:r>
        <w:t>-Lehrenden</w:t>
      </w:r>
    </w:p>
    <w:p w14:paraId="545B4181" w14:textId="77777777" w:rsidR="008D18FA" w:rsidRPr="00084A4B" w:rsidRDefault="008D18FA" w:rsidP="00084A4B">
      <w:pPr>
        <w:pStyle w:val="Flietext"/>
        <w:spacing w:line="360" w:lineRule="auto"/>
        <w:rPr>
          <w:b/>
        </w:rPr>
      </w:pPr>
      <w:r w:rsidRPr="00084A4B">
        <w:rPr>
          <w:b/>
        </w:rPr>
        <w:t>Eine qualitative Studie</w:t>
      </w:r>
    </w:p>
    <w:p w14:paraId="545B4184" w14:textId="450491DD" w:rsidR="00843E6F" w:rsidRPr="00492075" w:rsidRDefault="00843E6F" w:rsidP="00492075">
      <w:pPr>
        <w:pStyle w:val="Teaser"/>
        <w:spacing w:line="360" w:lineRule="auto"/>
        <w:rPr>
          <w:b/>
          <w:i w:val="0"/>
        </w:rPr>
      </w:pPr>
      <w:r w:rsidRPr="00492075">
        <w:rPr>
          <w:b/>
          <w:i w:val="0"/>
          <w:noProof/>
        </w:rPr>
        <w:drawing>
          <wp:anchor distT="0" distB="0" distL="114300" distR="114300" simplePos="0" relativeHeight="251658240" behindDoc="1" locked="0" layoutInCell="1" allowOverlap="1" wp14:anchorId="545B4198" wp14:editId="545B4199">
            <wp:simplePos x="0" y="0"/>
            <wp:positionH relativeFrom="column">
              <wp:posOffset>18287</wp:posOffset>
            </wp:positionH>
            <wp:positionV relativeFrom="paragraph">
              <wp:posOffset>811</wp:posOffset>
            </wp:positionV>
            <wp:extent cx="1971115" cy="2912249"/>
            <wp:effectExtent l="19050" t="0" r="0" b="0"/>
            <wp:wrapTight wrapText="bothSides">
              <wp:wrapPolygon edited="0">
                <wp:start x="-209" y="0"/>
                <wp:lineTo x="-209" y="21477"/>
                <wp:lineTo x="21502" y="21477"/>
                <wp:lineTo x="21502" y="0"/>
                <wp:lineTo x="-209" y="0"/>
              </wp:wrapPolygon>
            </wp:wrapTight>
            <wp:docPr id="2" name="Bild 1" descr="http://www.iudicium.de/images/covers/18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udicium.de/images/covers/187-0.gif"/>
                    <pic:cNvPicPr>
                      <a:picLocks noChangeAspect="1" noChangeArrowheads="1"/>
                    </pic:cNvPicPr>
                  </pic:nvPicPr>
                  <pic:blipFill>
                    <a:blip r:embed="rId11" cstate="print"/>
                    <a:srcRect/>
                    <a:stretch>
                      <a:fillRect/>
                    </a:stretch>
                  </pic:blipFill>
                  <pic:spPr bwMode="auto">
                    <a:xfrm>
                      <a:off x="0" y="0"/>
                      <a:ext cx="1971115" cy="2912249"/>
                    </a:xfrm>
                    <a:prstGeom prst="rect">
                      <a:avLst/>
                    </a:prstGeom>
                    <a:noFill/>
                    <a:ln w="9525">
                      <a:noFill/>
                      <a:miter lim="800000"/>
                      <a:headEnd/>
                      <a:tailEnd/>
                    </a:ln>
                  </pic:spPr>
                </pic:pic>
              </a:graphicData>
            </a:graphic>
          </wp:anchor>
        </w:drawing>
      </w:r>
      <w:r w:rsidRPr="00492075">
        <w:rPr>
          <w:b/>
          <w:i w:val="0"/>
        </w:rPr>
        <w:t xml:space="preserve">Der </w:t>
      </w:r>
      <w:proofErr w:type="spellStart"/>
      <w:r w:rsidRPr="00492075">
        <w:rPr>
          <w:b/>
          <w:i w:val="0"/>
        </w:rPr>
        <w:t>dröge</w:t>
      </w:r>
      <w:proofErr w:type="spellEnd"/>
      <w:r w:rsidRPr="00492075">
        <w:rPr>
          <w:b/>
          <w:i w:val="0"/>
        </w:rPr>
        <w:t xml:space="preserve"> Titel ist der Tatsache geschuldet, dass es sich um eine Dissertation handelt und lädt nicht zwingen zur Lektüre ein. Aber schon das umfangreiche Inhaltsverzeichnis macht deutlich, dass hier mehr von Bildungspraxis als von -theorie die Rede ist. Die Autorin stellt eine Vielzahl von Formen der Binnendifferenzierung vor, die anschaulich beschrieben werden. Der Clou der Arbeit ist, dass sie in qualitativen Interviews mit Kursleiterinnen und Kursleitern und durch teilnehmende Beobachtung in Unterrichtshospitationen die Formen der Binnendifferenzierung kritisch reflektieren und den Nutzen einzelner Instrumente abwägen lässt.</w:t>
      </w:r>
      <w:r w:rsidR="00EB205D">
        <w:rPr>
          <w:b/>
          <w:i w:val="0"/>
        </w:rPr>
        <w:t xml:space="preserve"> So wird der Band zu einem Grundlagenwerk zum Thema.</w:t>
      </w:r>
    </w:p>
    <w:p w14:paraId="545B4185" w14:textId="72CDD0B5" w:rsidR="00286F01" w:rsidRPr="00286F01" w:rsidRDefault="00286F01" w:rsidP="00084A4B">
      <w:pPr>
        <w:pStyle w:val="Flietext"/>
        <w:spacing w:line="360" w:lineRule="auto"/>
      </w:pPr>
      <w:r w:rsidRPr="00286F01">
        <w:rPr>
          <w:bCs/>
        </w:rPr>
        <w:t xml:space="preserve">Silvia </w:t>
      </w:r>
      <w:proofErr w:type="spellStart"/>
      <w:r w:rsidRPr="00286F01">
        <w:rPr>
          <w:bCs/>
        </w:rPr>
        <w:t>Demmig</w:t>
      </w:r>
      <w:r w:rsidR="00C600BE">
        <w:rPr>
          <w:bCs/>
        </w:rPr>
        <w:t>s</w:t>
      </w:r>
      <w:proofErr w:type="spellEnd"/>
      <w:r>
        <w:rPr>
          <w:bCs/>
        </w:rPr>
        <w:t xml:space="preserve"> Studienfächer waren </w:t>
      </w:r>
      <w:r w:rsidRPr="00286F01">
        <w:rPr>
          <w:bCs/>
        </w:rPr>
        <w:t>Deutsch als Fremd- und Zweitsprache, Germanistik u</w:t>
      </w:r>
      <w:r w:rsidR="00EB205D">
        <w:rPr>
          <w:bCs/>
        </w:rPr>
        <w:t>nd Romanistik sowie</w:t>
      </w:r>
      <w:r>
        <w:rPr>
          <w:bCs/>
        </w:rPr>
        <w:t xml:space="preserve"> Komparatistik</w:t>
      </w:r>
      <w:r w:rsidRPr="00286F01">
        <w:rPr>
          <w:bCs/>
        </w:rPr>
        <w:t xml:space="preserve">. </w:t>
      </w:r>
      <w:r>
        <w:rPr>
          <w:bCs/>
        </w:rPr>
        <w:t xml:space="preserve">Sie verfügt über eigene Praxiserfahrung als Kursleiterin in Sprachkursen. Seit </w:t>
      </w:r>
      <w:r w:rsidRPr="00286F01">
        <w:rPr>
          <w:bCs/>
        </w:rPr>
        <w:t xml:space="preserve">1999 </w:t>
      </w:r>
      <w:r w:rsidR="0077075A">
        <w:rPr>
          <w:bCs/>
        </w:rPr>
        <w:t>arbeitete</w:t>
      </w:r>
      <w:r>
        <w:rPr>
          <w:bCs/>
        </w:rPr>
        <w:t xml:space="preserve"> sie </w:t>
      </w:r>
      <w:r w:rsidRPr="00286F01">
        <w:rPr>
          <w:bCs/>
        </w:rPr>
        <w:t>als wissenschaftliche Mitarbeiterin im Fach Deut</w:t>
      </w:r>
      <w:r w:rsidR="0077075A">
        <w:rPr>
          <w:bCs/>
        </w:rPr>
        <w:t xml:space="preserve">sch als Fremd- und Zweitsprache. </w:t>
      </w:r>
      <w:r w:rsidRPr="00286F01">
        <w:rPr>
          <w:bCs/>
        </w:rPr>
        <w:t xml:space="preserve">Seit 2005 </w:t>
      </w:r>
      <w:r w:rsidR="0077075A">
        <w:rPr>
          <w:bCs/>
        </w:rPr>
        <w:t xml:space="preserve">ist sie als wissenschaftliche Mitarbeiterin an </w:t>
      </w:r>
      <w:r w:rsidRPr="00286F01">
        <w:rPr>
          <w:bCs/>
        </w:rPr>
        <w:t>der Friedrich-Schiller-Universität Jena</w:t>
      </w:r>
      <w:r w:rsidR="0077075A">
        <w:rPr>
          <w:bCs/>
        </w:rPr>
        <w:t xml:space="preserve"> zu finden, ihre hier beschrieben Dissertation </w:t>
      </w:r>
      <w:r w:rsidR="00EB205D">
        <w:rPr>
          <w:bCs/>
        </w:rPr>
        <w:t>schloss sie</w:t>
      </w:r>
      <w:r w:rsidR="0077075A">
        <w:rPr>
          <w:bCs/>
        </w:rPr>
        <w:t xml:space="preserve"> 2003, ihre</w:t>
      </w:r>
      <w:r w:rsidR="00EB205D">
        <w:rPr>
          <w:bCs/>
        </w:rPr>
        <w:t xml:space="preserve"> Habilitation 2012 ab</w:t>
      </w:r>
      <w:r w:rsidR="0077075A">
        <w:rPr>
          <w:bCs/>
        </w:rPr>
        <w:t>.</w:t>
      </w:r>
    </w:p>
    <w:p w14:paraId="2A1479B5" w14:textId="77777777" w:rsidR="009408F3" w:rsidRDefault="009408F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14:paraId="545B4186" w14:textId="404A76FB" w:rsidR="00843E6F" w:rsidRDefault="00EB205D" w:rsidP="00084A4B">
      <w:pPr>
        <w:pStyle w:val="Zwischenberschrift"/>
        <w:spacing w:line="360" w:lineRule="auto"/>
      </w:pPr>
      <w:r>
        <w:lastRenderedPageBreak/>
        <w:t>Notwendig: Systematische Binnendifferenzierung</w:t>
      </w:r>
    </w:p>
    <w:p w14:paraId="545B4187" w14:textId="31119800" w:rsidR="004E6EBE" w:rsidRDefault="00C600BE" w:rsidP="00084A4B">
      <w:pPr>
        <w:pStyle w:val="Flietext"/>
        <w:spacing w:line="360" w:lineRule="auto"/>
      </w:pPr>
      <w:r>
        <w:t xml:space="preserve">Die Arbeit ist für Lehrende nützlich, die in ihrer Praxis mit der </w:t>
      </w:r>
      <w:r w:rsidR="004E6EBE">
        <w:t>Herausforderung</w:t>
      </w:r>
      <w:r>
        <w:t xml:space="preserve"> konfrontiert sind, mit sehr heterogenen Lerngruppen umzugehen. Diese Heterogenität </w:t>
      </w:r>
      <w:r w:rsidR="004E6EBE">
        <w:t>wird zwar am Beispiel von Deutschkursen abgehandelt, der Transfer auf berufliche Weiterbildungsa</w:t>
      </w:r>
      <w:r w:rsidR="00EB205D">
        <w:t>ngebote fällt aber leicht. Die e</w:t>
      </w:r>
      <w:r w:rsidR="004E6EBE">
        <w:t xml:space="preserve">inführenden Kapitel setzen sich mit dem theoretischen Hintergrund der Binnendifferenzierung auseinander, aber immer wieder durch praktische Beispiele veranschaulicht. Eine Grafik </w:t>
      </w:r>
      <w:r w:rsidR="00084A4B">
        <w:t xml:space="preserve">(S. 25) </w:t>
      </w:r>
      <w:r w:rsidR="004E6EBE">
        <w:t>zu den Zielen der Binnendifferenzierung illustriert die Notwendigkeit einer systematischen Binnendifferenzierung</w:t>
      </w:r>
      <w:r w:rsidR="00084A4B">
        <w:t xml:space="preserve">, hier am Beispiel des Ziels der </w:t>
      </w:r>
      <w:r w:rsidR="00084A4B" w:rsidRPr="00084A4B">
        <w:rPr>
          <w:i/>
        </w:rPr>
        <w:t>Zunahme der kommunikativen Fähigkeiten und Fertigkeiten</w:t>
      </w:r>
      <w:r w:rsidR="00084A4B">
        <w:t xml:space="preserve"> durchdekliniert</w:t>
      </w:r>
      <w:r w:rsidR="004E6EBE">
        <w:t>.</w:t>
      </w:r>
    </w:p>
    <w:p w14:paraId="545B4188" w14:textId="77777777" w:rsidR="004E6EBE" w:rsidRDefault="004E6EBE" w:rsidP="00084A4B">
      <w:pPr>
        <w:pStyle w:val="Flietext"/>
        <w:spacing w:line="360" w:lineRule="auto"/>
      </w:pPr>
      <w:r>
        <w:t>Die Autorin diskutiert grundsätzliche Fragen zur Binnendifferenzierung: Geht es um ein gemeinsames Lernziel oder um einen gemeinsamen Unterrichtsgegenstand? Soll der Lehrende als I</w:t>
      </w:r>
      <w:r w:rsidR="00084A4B">
        <w:t>n</w:t>
      </w:r>
      <w:r>
        <w:t>it</w:t>
      </w:r>
      <w:r w:rsidR="00084A4B">
        <w:t>i</w:t>
      </w:r>
      <w:r>
        <w:t xml:space="preserve">ator agieren oder sollen Lernende diese Rolle übernehmen? Sie </w:t>
      </w:r>
      <w:r w:rsidR="006D4AB3">
        <w:t>klassifiziert</w:t>
      </w:r>
      <w:r>
        <w:t xml:space="preserve"> die unterschiedlichen Möglichk</w:t>
      </w:r>
      <w:r w:rsidR="006D4AB3">
        <w:t>eiten der Binnendifferenzierung: sozial, thematisch, medial, methodisch oder nach Niveau differenziert (S. 35).</w:t>
      </w:r>
    </w:p>
    <w:p w14:paraId="545B418C" w14:textId="77777777" w:rsidR="004E6EBE" w:rsidRDefault="004E6EBE" w:rsidP="00084A4B">
      <w:pPr>
        <w:pStyle w:val="Flietext"/>
        <w:spacing w:line="360" w:lineRule="auto"/>
      </w:pPr>
      <w:r>
        <w:t xml:space="preserve">Die für Praktiker weniger relevante Darstellung der Untersuchungsmethode ist erfreulich knapp gehalten und bietet einige anregende Überlegungen zum Verhältnis </w:t>
      </w:r>
      <w:r>
        <w:lastRenderedPageBreak/>
        <w:t xml:space="preserve">von Wissenschaftswissen und Handlungswissen und zur Rolle der Lehrenden als autonom reflektierende Professionelle. </w:t>
      </w:r>
    </w:p>
    <w:p w14:paraId="545B418D" w14:textId="762674CD" w:rsidR="004E6EBE" w:rsidRDefault="004E6EBE" w:rsidP="00084A4B">
      <w:pPr>
        <w:pStyle w:val="Flietext"/>
        <w:spacing w:line="360" w:lineRule="auto"/>
      </w:pPr>
      <w:r>
        <w:t>Bevor die Autorin die Ergebnisse ihrer Interviews vorstellt und interpretiert, findet sich eine Vorstellung der einbezogenen Bildungsträger.</w:t>
      </w:r>
    </w:p>
    <w:p w14:paraId="545B418E" w14:textId="4A559EF9" w:rsidR="004E6EBE" w:rsidRDefault="004E6EBE" w:rsidP="00084A4B">
      <w:pPr>
        <w:pStyle w:val="Flietext"/>
        <w:spacing w:line="360" w:lineRule="auto"/>
      </w:pPr>
      <w:r>
        <w:t>Die Auswertung des erhobenen Materials erfolgt nach den Kodierungsregeln der qualitativen Inhalts</w:t>
      </w:r>
      <w:r w:rsidR="000F06DF">
        <w:t xml:space="preserve">analyse nach </w:t>
      </w:r>
      <w:proofErr w:type="spellStart"/>
      <w:r w:rsidR="000F06DF">
        <w:t>Mayring</w:t>
      </w:r>
      <w:proofErr w:type="spellEnd"/>
      <w:r w:rsidR="000F06DF">
        <w:t xml:space="preserve"> (1996, S. 91ff) Die präsentierten Interviewpassagen liefern nicht nur ein beeindruckendes Bild der Anforderungen, die sich für Kursleitende in sehr heterogenen Gruppen ergeben. Sie zeigen auch, dass die jeweils gewählten Formen der Bi</w:t>
      </w:r>
      <w:r w:rsidR="00EB205D">
        <w:t>nnendifferenzierung</w:t>
      </w:r>
      <w:r w:rsidR="000F06DF">
        <w:t xml:space="preserve"> von der Lerngruppe abhängig sind, aber mindestens genauso wichtig ist, dass sie zum jeweiligen pädagogischen Selbstverständnis „passen</w:t>
      </w:r>
      <w:r w:rsidR="00EB205D">
        <w:t>“</w:t>
      </w:r>
      <w:r w:rsidR="000F06DF">
        <w:t xml:space="preserve"> müssen. Ein Rezept, das als Königsweg gelten könnte, gibt es aus anschaulich dargestellten Gründen nicht.</w:t>
      </w:r>
    </w:p>
    <w:p w14:paraId="545B418F" w14:textId="61335EE3" w:rsidR="000F06DF" w:rsidRDefault="00EB205D" w:rsidP="00084A4B">
      <w:pPr>
        <w:pStyle w:val="Zwischenberschrift"/>
        <w:spacing w:line="360" w:lineRule="auto"/>
      </w:pPr>
      <w:r>
        <w:t>Interessante Interviews</w:t>
      </w:r>
    </w:p>
    <w:p w14:paraId="545B4190" w14:textId="77777777" w:rsidR="000F06DF" w:rsidRDefault="000F06DF" w:rsidP="00084A4B">
      <w:pPr>
        <w:pStyle w:val="Flietext"/>
        <w:spacing w:line="360" w:lineRule="auto"/>
      </w:pPr>
      <w:r>
        <w:t>Das Buch ist für alle hilfreich, die in ihrer Praxis mit heterogenen Gruppen arbeiten. Es entlastet auch, weil die Interviewpassagen deutlich machen, dass immer wieder mit Rückschlägen zu rechnen ist und Binnendifferenzierung einen langen Atem braucht. Ich habe selten eine so praxisrelevante wissenschaftliche Arbeit gelesen.</w:t>
      </w:r>
    </w:p>
    <w:p w14:paraId="545B4191" w14:textId="77777777" w:rsidR="000F06DF" w:rsidRDefault="000F06DF" w:rsidP="00084A4B">
      <w:pPr>
        <w:pStyle w:val="Flietext"/>
        <w:spacing w:line="360" w:lineRule="auto"/>
      </w:pPr>
    </w:p>
    <w:p w14:paraId="11CFE898" w14:textId="701AC2B1" w:rsidR="004807B2" w:rsidRDefault="004807B2" w:rsidP="00084A4B">
      <w:pPr>
        <w:pStyle w:val="Flietext"/>
        <w:spacing w:line="360" w:lineRule="auto"/>
      </w:pPr>
      <w:r>
        <w:t xml:space="preserve">Verlagsinformationen: </w:t>
      </w:r>
    </w:p>
    <w:p w14:paraId="78A02596" w14:textId="7CE13B03" w:rsidR="004807B2" w:rsidRDefault="004807B2" w:rsidP="004807B2">
      <w:pPr>
        <w:pStyle w:val="Flietext"/>
        <w:spacing w:line="360" w:lineRule="auto"/>
      </w:pPr>
      <w:proofErr w:type="spellStart"/>
      <w:r>
        <w:t>Demmig</w:t>
      </w:r>
      <w:proofErr w:type="spellEnd"/>
      <w:r>
        <w:t xml:space="preserve">, S. (2007). Das professionelle Handlungswissen von </w:t>
      </w:r>
      <w:proofErr w:type="spellStart"/>
      <w:r>
        <w:t>DaZ</w:t>
      </w:r>
      <w:proofErr w:type="spellEnd"/>
      <w:r>
        <w:t xml:space="preserve">-Lehrenden in der Erwachsenenbildung am Beispiel Binnendifferenzierung Eine qualitative Studie. München: </w:t>
      </w:r>
      <w:proofErr w:type="spellStart"/>
      <w:r>
        <w:t>Iudicium</w:t>
      </w:r>
      <w:proofErr w:type="spellEnd"/>
      <w:r>
        <w:t>.</w:t>
      </w:r>
    </w:p>
    <w:p w14:paraId="545B4193" w14:textId="4DABF856" w:rsidR="00843E6F" w:rsidRDefault="004807B2" w:rsidP="00084A4B">
      <w:pPr>
        <w:pStyle w:val="Flietext"/>
        <w:spacing w:line="360" w:lineRule="auto"/>
      </w:pPr>
      <w:r>
        <w:t>218</w:t>
      </w:r>
      <w:r w:rsidR="00843E6F">
        <w:t xml:space="preserve"> S</w:t>
      </w:r>
      <w:r>
        <w:t xml:space="preserve">eiten, </w:t>
      </w:r>
      <w:r w:rsidR="00843E6F">
        <w:t>22,</w:t>
      </w:r>
      <w:r>
        <w:t>00 Euro.</w:t>
      </w:r>
    </w:p>
    <w:p w14:paraId="545B4194" w14:textId="6A0CBE49" w:rsidR="000F06DF" w:rsidRDefault="004807B2" w:rsidP="00084A4B">
      <w:pPr>
        <w:pStyle w:val="Flietext"/>
        <w:spacing w:line="360" w:lineRule="auto"/>
        <w:rPr>
          <w:sz w:val="22"/>
        </w:rPr>
      </w:pPr>
      <w:bookmarkStart w:id="0" w:name="_GoBack"/>
      <w:bookmarkEnd w:id="0"/>
      <w:r>
        <w:t>Das Buch gibt es hier als kostenlosen Download:</w:t>
      </w:r>
      <w:r w:rsidR="000F06DF">
        <w:t xml:space="preserve"> </w:t>
      </w:r>
      <w:hyperlink r:id="rId12" w:history="1">
        <w:r w:rsidR="000F06DF" w:rsidRPr="00216A1C">
          <w:rPr>
            <w:rStyle w:val="Hyperlink"/>
          </w:rPr>
          <w:t>https://kobra.bibliothek.uni-kassel.de/bitstream/urn:nbn:de:hebis:34-1529/1/diss2386_09.pdf</w:t>
        </w:r>
      </w:hyperlink>
      <w:r w:rsidR="000F06DF">
        <w:t xml:space="preserve"> </w:t>
      </w:r>
      <w:r w:rsidR="000F06DF" w:rsidRPr="00084A4B">
        <w:rPr>
          <w:szCs w:val="24"/>
        </w:rPr>
        <w:t>(02.11.2015)</w:t>
      </w:r>
    </w:p>
    <w:p w14:paraId="545B4195" w14:textId="77777777" w:rsidR="00084A4B" w:rsidRDefault="00084A4B" w:rsidP="00084A4B">
      <w:pPr>
        <w:pStyle w:val="Flietext"/>
        <w:spacing w:line="360" w:lineRule="auto"/>
        <w:rPr>
          <w:sz w:val="22"/>
        </w:rPr>
      </w:pPr>
    </w:p>
    <w:p w14:paraId="545B4197" w14:textId="6E8DEFDD" w:rsidR="00084A4B" w:rsidRPr="00084A4B" w:rsidRDefault="00084A4B" w:rsidP="009408F3">
      <w:pPr>
        <w:spacing w:line="360" w:lineRule="auto"/>
        <w:rPr>
          <w:lang w:val="en-US"/>
        </w:rPr>
      </w:pPr>
      <w:r w:rsidRPr="00312410">
        <w:rPr>
          <w:rFonts w:ascii="Arial" w:hAnsi="Arial" w:cs="Arial"/>
          <w:i/>
          <w:sz w:val="24"/>
          <w:szCs w:val="24"/>
          <w:lang w:val="en-US"/>
        </w:rPr>
        <w:t xml:space="preserve">CC BY </w:t>
      </w:r>
      <w:r w:rsidRPr="00084A4B">
        <w:rPr>
          <w:rFonts w:ascii="Arial" w:hAnsi="Arial" w:cs="Arial"/>
          <w:i/>
          <w:sz w:val="24"/>
          <w:szCs w:val="24"/>
          <w:lang w:val="en-US"/>
        </w:rPr>
        <w:t xml:space="preserve">SA 3.0 by </w:t>
      </w:r>
      <w:r w:rsidRPr="00084A4B">
        <w:rPr>
          <w:rFonts w:ascii="Arial" w:hAnsi="Arial" w:cs="Arial"/>
          <w:b/>
          <w:i/>
          <w:sz w:val="24"/>
          <w:szCs w:val="24"/>
          <w:lang w:val="en-US"/>
        </w:rPr>
        <w:t>Gerhard Reutter</w:t>
      </w:r>
      <w:r w:rsidRPr="00084A4B">
        <w:rPr>
          <w:rFonts w:ascii="Arial" w:hAnsi="Arial" w:cs="Arial"/>
          <w:i/>
          <w:sz w:val="24"/>
          <w:szCs w:val="24"/>
          <w:lang w:val="en-US"/>
        </w:rPr>
        <w:t xml:space="preserve"> </w:t>
      </w:r>
      <w:proofErr w:type="spellStart"/>
      <w:r w:rsidRPr="00084A4B">
        <w:rPr>
          <w:rFonts w:ascii="Arial" w:hAnsi="Arial" w:cs="Arial"/>
          <w:i/>
          <w:sz w:val="24"/>
          <w:szCs w:val="24"/>
          <w:lang w:val="en-US"/>
        </w:rPr>
        <w:t>für</w:t>
      </w:r>
      <w:proofErr w:type="spellEnd"/>
      <w:r w:rsidRPr="00084A4B">
        <w:rPr>
          <w:rFonts w:ascii="Arial" w:hAnsi="Arial" w:cs="Arial"/>
          <w:i/>
          <w:sz w:val="24"/>
          <w:szCs w:val="24"/>
          <w:lang w:val="en-US"/>
        </w:rPr>
        <w:t xml:space="preserve"> </w:t>
      </w:r>
      <w:proofErr w:type="spellStart"/>
      <w:r w:rsidRPr="00084A4B">
        <w:rPr>
          <w:rFonts w:ascii="Arial" w:hAnsi="Arial" w:cs="Arial"/>
          <w:i/>
          <w:sz w:val="24"/>
          <w:szCs w:val="24"/>
          <w:lang w:val="en-US"/>
        </w:rPr>
        <w:t>wb</w:t>
      </w:r>
      <w:proofErr w:type="spellEnd"/>
      <w:r w:rsidRPr="00084A4B">
        <w:rPr>
          <w:rFonts w:ascii="Arial" w:hAnsi="Arial" w:cs="Arial"/>
          <w:i/>
          <w:sz w:val="24"/>
          <w:szCs w:val="24"/>
          <w:lang w:val="en-US"/>
        </w:rPr>
        <w:t>-web</w:t>
      </w:r>
    </w:p>
    <w:sectPr w:rsidR="00084A4B" w:rsidRPr="00084A4B" w:rsidSect="00FD3A72">
      <w:headerReference w:type="default" r:id="rId13"/>
      <w:footerReference w:type="defaul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B419E" w14:textId="77777777" w:rsidR="00D62A9A" w:rsidRDefault="00D62A9A" w:rsidP="00014AE4">
      <w:pPr>
        <w:spacing w:after="0" w:line="240" w:lineRule="auto"/>
      </w:pPr>
      <w:r>
        <w:separator/>
      </w:r>
    </w:p>
  </w:endnote>
  <w:endnote w:type="continuationSeparator" w:id="0">
    <w:p w14:paraId="545B419F" w14:textId="77777777" w:rsidR="00D62A9A" w:rsidRDefault="00D62A9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41A1" w14:textId="77777777" w:rsidR="00D62A9A" w:rsidRDefault="00D62A9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45B41A8" wp14:editId="545B41A9">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545B41A2" w14:textId="77777777" w:rsidR="00D62A9A" w:rsidRDefault="00D62A9A" w:rsidP="00DB4FF9">
    <w:pPr>
      <w:autoSpaceDE w:val="0"/>
      <w:autoSpaceDN w:val="0"/>
      <w:adjustRightInd w:val="0"/>
      <w:spacing w:after="0" w:line="240" w:lineRule="auto"/>
      <w:rPr>
        <w:rFonts w:ascii="DINPro" w:hAnsi="DINPro" w:cs="DINPro"/>
        <w:color w:val="333333"/>
        <w:sz w:val="16"/>
        <w:szCs w:val="16"/>
      </w:rPr>
    </w:pPr>
  </w:p>
  <w:p w14:paraId="545B41A3" w14:textId="77777777" w:rsidR="00D62A9A" w:rsidRDefault="00D62A9A" w:rsidP="00DB4FF9">
    <w:pPr>
      <w:autoSpaceDE w:val="0"/>
      <w:autoSpaceDN w:val="0"/>
      <w:adjustRightInd w:val="0"/>
      <w:spacing w:after="0" w:line="240" w:lineRule="auto"/>
      <w:rPr>
        <w:rFonts w:ascii="DINPro" w:hAnsi="DINPro" w:cs="DINPro"/>
        <w:color w:val="333333"/>
        <w:sz w:val="16"/>
        <w:szCs w:val="16"/>
      </w:rPr>
    </w:pPr>
  </w:p>
  <w:p w14:paraId="545B41A4" w14:textId="535F13ED" w:rsidR="00D62A9A" w:rsidRPr="00DB4FF9" w:rsidRDefault="00D62A9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AB497D">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B419C" w14:textId="77777777" w:rsidR="00D62A9A" w:rsidRDefault="00D62A9A" w:rsidP="00014AE4">
      <w:pPr>
        <w:spacing w:after="0" w:line="240" w:lineRule="auto"/>
      </w:pPr>
      <w:r>
        <w:separator/>
      </w:r>
    </w:p>
  </w:footnote>
  <w:footnote w:type="continuationSeparator" w:id="0">
    <w:p w14:paraId="545B419D" w14:textId="77777777" w:rsidR="00D62A9A" w:rsidRDefault="00D62A9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41A0" w14:textId="249D35D8" w:rsidR="00D62A9A" w:rsidRDefault="00D62A9A">
    <w:pPr>
      <w:pStyle w:val="Kopfzeile"/>
    </w:pPr>
    <w:r>
      <w:rPr>
        <w:noProof/>
        <w:lang w:eastAsia="de-DE"/>
      </w:rPr>
      <w:drawing>
        <wp:anchor distT="0" distB="0" distL="114300" distR="114300" simplePos="0" relativeHeight="251664384" behindDoc="1" locked="0" layoutInCell="1" allowOverlap="1" wp14:anchorId="545B41A5" wp14:editId="545B41A6">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545B41A7" wp14:editId="08FE7362">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545B41AA" w14:textId="0D20940E" w:rsidR="00D62A9A" w:rsidRPr="00AC2223" w:rsidRDefault="00D62A9A" w:rsidP="00C93D17">
                          <w:pPr>
                            <w:jc w:val="right"/>
                            <w:rPr>
                              <w:rFonts w:ascii="Arial" w:hAnsi="Arial" w:cs="Arial"/>
                              <w:i/>
                              <w:sz w:val="18"/>
                              <w:szCs w:val="18"/>
                            </w:rPr>
                          </w:pPr>
                          <w:hyperlink r:id="rId2" w:history="1">
                            <w:r>
                              <w:rPr>
                                <w:rFonts w:ascii="Arial" w:eastAsiaTheme="minorHAnsi" w:hAnsi="Arial" w:cs="Arial"/>
                                <w:i/>
                                <w:iCs/>
                                <w:color w:val="0000FF"/>
                                <w:sz w:val="18"/>
                                <w:szCs w:val="18"/>
                                <w:u w:val="single"/>
                                <w:bdr w:val="none" w:sz="0" w:space="0" w:color="auto"/>
                                <w:lang w:eastAsia="en-US"/>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B41A7"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545B41AA" w14:textId="0D20940E" w:rsidR="006D4AB3" w:rsidRPr="00AC2223" w:rsidRDefault="00C662B3" w:rsidP="00C93D17">
                    <w:pPr>
                      <w:jc w:val="right"/>
                      <w:rPr>
                        <w:rFonts w:ascii="Arial" w:hAnsi="Arial" w:cs="Arial"/>
                        <w:i/>
                        <w:sz w:val="18"/>
                        <w:szCs w:val="18"/>
                      </w:rPr>
                    </w:pPr>
                    <w:hyperlink r:id="rId3" w:history="1">
                      <w:r>
                        <w:rPr>
                          <w:rFonts w:ascii="Arial" w:eastAsiaTheme="minorHAnsi" w:hAnsi="Arial" w:cs="Arial"/>
                          <w:i/>
                          <w:iCs/>
                          <w:color w:val="0000FF"/>
                          <w:sz w:val="18"/>
                          <w:szCs w:val="18"/>
                          <w:u w:val="single"/>
                          <w:bdr w:val="none" w:sz="0" w:space="0" w:color="auto"/>
                          <w:lang w:eastAsia="en-US"/>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84A4B"/>
    <w:rsid w:val="000A44F1"/>
    <w:rsid w:val="000C6BAB"/>
    <w:rsid w:val="000E4BEB"/>
    <w:rsid w:val="000E5A0E"/>
    <w:rsid w:val="000F06DF"/>
    <w:rsid w:val="0017476E"/>
    <w:rsid w:val="00206FAA"/>
    <w:rsid w:val="0022296F"/>
    <w:rsid w:val="00286F01"/>
    <w:rsid w:val="002A5928"/>
    <w:rsid w:val="00312410"/>
    <w:rsid w:val="00333725"/>
    <w:rsid w:val="0048036C"/>
    <w:rsid w:val="004807B2"/>
    <w:rsid w:val="00492075"/>
    <w:rsid w:val="004A33CC"/>
    <w:rsid w:val="004E6EBE"/>
    <w:rsid w:val="00506977"/>
    <w:rsid w:val="00527C57"/>
    <w:rsid w:val="00574BEB"/>
    <w:rsid w:val="005B2946"/>
    <w:rsid w:val="005C0361"/>
    <w:rsid w:val="006027BA"/>
    <w:rsid w:val="0061648F"/>
    <w:rsid w:val="00621195"/>
    <w:rsid w:val="006246A2"/>
    <w:rsid w:val="00635D7A"/>
    <w:rsid w:val="0067451F"/>
    <w:rsid w:val="006D4AB3"/>
    <w:rsid w:val="006D5D2F"/>
    <w:rsid w:val="006F3111"/>
    <w:rsid w:val="00723B4B"/>
    <w:rsid w:val="00745EE5"/>
    <w:rsid w:val="0074684B"/>
    <w:rsid w:val="0077075A"/>
    <w:rsid w:val="007930AE"/>
    <w:rsid w:val="00843E6F"/>
    <w:rsid w:val="00862F3E"/>
    <w:rsid w:val="008C1D48"/>
    <w:rsid w:val="008D18FA"/>
    <w:rsid w:val="00913C77"/>
    <w:rsid w:val="009408F3"/>
    <w:rsid w:val="0095483E"/>
    <w:rsid w:val="00A651A5"/>
    <w:rsid w:val="00A7652F"/>
    <w:rsid w:val="00A97FA3"/>
    <w:rsid w:val="00AC2223"/>
    <w:rsid w:val="00AD5389"/>
    <w:rsid w:val="00B01655"/>
    <w:rsid w:val="00B11ED0"/>
    <w:rsid w:val="00B27E74"/>
    <w:rsid w:val="00B70DAA"/>
    <w:rsid w:val="00B71BFA"/>
    <w:rsid w:val="00BC2391"/>
    <w:rsid w:val="00C07190"/>
    <w:rsid w:val="00C145EE"/>
    <w:rsid w:val="00C3075E"/>
    <w:rsid w:val="00C600BE"/>
    <w:rsid w:val="00C662B3"/>
    <w:rsid w:val="00C675B9"/>
    <w:rsid w:val="00C93D17"/>
    <w:rsid w:val="00D17A67"/>
    <w:rsid w:val="00D62A9A"/>
    <w:rsid w:val="00DB4FF9"/>
    <w:rsid w:val="00E056E0"/>
    <w:rsid w:val="00E37822"/>
    <w:rsid w:val="00E53294"/>
    <w:rsid w:val="00E5546C"/>
    <w:rsid w:val="00E678F7"/>
    <w:rsid w:val="00E84DD0"/>
    <w:rsid w:val="00EB205D"/>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45B417E"/>
  <w15:docId w15:val="{35A53480-93AB-4393-A545-ECFB51A0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06DF"/>
    <w:rPr>
      <w:color w:val="0000FF" w:themeColor="hyperlink"/>
      <w:u w:val="single"/>
    </w:rPr>
  </w:style>
  <w:style w:type="character" w:styleId="BesuchterHyperlink">
    <w:name w:val="FollowedHyperlink"/>
    <w:basedOn w:val="Absatz-Standardschriftart"/>
    <w:uiPriority w:val="99"/>
    <w:semiHidden/>
    <w:unhideWhenUsed/>
    <w:rsid w:val="00EB20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0177">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bra.bibliothek.uni-kassel.de/bitstream/urn:nbn:de:hebis:34-1529/1/diss2386_0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DAB4-448C-4593-861D-B290C9962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5EC800-25F0-4BB4-9C31-1D0E88C2E80F}">
  <ds:schemaRefs>
    <ds:schemaRef ds:uri="http://schemas.microsoft.com/sharepoint/v3/contenttype/forms"/>
  </ds:schemaRefs>
</ds:datastoreItem>
</file>

<file path=customXml/itemProps3.xml><?xml version="1.0" encoding="utf-8"?>
<ds:datastoreItem xmlns:ds="http://schemas.openxmlformats.org/officeDocument/2006/customXml" ds:itemID="{EE54C847-9B8A-4D79-B7E2-753C100600F2}">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s>
</ds:datastoreItem>
</file>

<file path=customXml/itemProps4.xml><?xml version="1.0" encoding="utf-8"?>
<ds:datastoreItem xmlns:ds="http://schemas.openxmlformats.org/officeDocument/2006/customXml" ds:itemID="{82565626-7BA4-4248-8F1C-6043338D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246EBAED</Template>
  <TotalTime>0</TotalTime>
  <Pages>3</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Gundermann, Angelika</cp:lastModifiedBy>
  <cp:revision>2</cp:revision>
  <cp:lastPrinted>2016-02-17T09:22:00Z</cp:lastPrinted>
  <dcterms:created xsi:type="dcterms:W3CDTF">2016-02-17T10:50:00Z</dcterms:created>
  <dcterms:modified xsi:type="dcterms:W3CDTF">2016-02-17T10:50:00Z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