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76" w:rsidRDefault="00584376" w:rsidP="00655467">
      <w:pPr>
        <w:pStyle w:val="Materialtyp1"/>
      </w:pPr>
      <w:r w:rsidRPr="11DCBE30">
        <w:rPr>
          <w:rFonts w:eastAsia="Arial"/>
        </w:rPr>
        <w:t>Checkliste</w:t>
      </w:r>
    </w:p>
    <w:p w:rsidR="00584376" w:rsidRDefault="00584376" w:rsidP="00B46E34">
      <w:pPr>
        <w:pStyle w:val="Headline"/>
      </w:pPr>
      <w:r w:rsidRPr="11DCBE30">
        <w:t>Mit Lernbarrieren umgehen</w:t>
      </w:r>
    </w:p>
    <w:p w:rsidR="00584376" w:rsidRPr="00B46E34" w:rsidRDefault="00584376" w:rsidP="00B46E34">
      <w:pPr>
        <w:pStyle w:val="Teaser"/>
        <w:rPr>
          <w:b/>
          <w:i w:val="0"/>
        </w:rPr>
      </w:pPr>
      <w:r w:rsidRPr="00B46E34">
        <w:rPr>
          <w:b/>
          <w:i w:val="0"/>
        </w:rPr>
        <w:t>Sie finden im Folgenden sechs Möglichkeiten und Empfehlungen, wie Sie Lernbarrieren umschiffen können. Das Bild des Schiffes soll deutlich machen, dass es um kluges Navigieren geht.</w:t>
      </w:r>
    </w:p>
    <w:p w:rsidR="00B46E34" w:rsidRPr="00B46E34" w:rsidRDefault="00584376" w:rsidP="00B46E34">
      <w:pPr>
        <w:pStyle w:val="Zwischenberschrift"/>
        <w:rPr>
          <w:rStyle w:val="IntensiveHervorhebung"/>
          <w:b/>
          <w:bCs w:val="0"/>
          <w:i w:val="0"/>
          <w:iCs w:val="0"/>
          <w:color w:val="000000"/>
        </w:rPr>
      </w:pPr>
      <w:r w:rsidRPr="00B46E34">
        <w:rPr>
          <w:rStyle w:val="IntensiveHervorhebung"/>
          <w:b/>
          <w:bCs w:val="0"/>
          <w:i w:val="0"/>
          <w:iCs w:val="0"/>
          <w:color w:val="000000"/>
        </w:rPr>
        <w:t xml:space="preserve">Lernbarrieren </w:t>
      </w:r>
      <w:r w:rsidR="00E41F74">
        <w:rPr>
          <w:rStyle w:val="IntensiveHervorhebung"/>
          <w:b/>
          <w:bCs w:val="0"/>
          <w:i w:val="0"/>
          <w:iCs w:val="0"/>
          <w:color w:val="000000"/>
        </w:rPr>
        <w:t>durch innere Haltung umschiffen</w:t>
      </w:r>
    </w:p>
    <w:p w:rsidR="00584376" w:rsidRPr="00B46E34" w:rsidRDefault="00584376" w:rsidP="00B46E34">
      <w:pPr>
        <w:pStyle w:val="Flietext"/>
      </w:pPr>
      <w:r w:rsidRPr="00B46E34">
        <w:t xml:space="preserve">Kursleitende sollten nie vergessen, dass Lernbarrieren, Blockaden oder Widerstände gar nichts Gemeines, Böses, gegen die Kursleitenden Gerichtetes </w:t>
      </w:r>
      <w:r w:rsidR="00F9005B" w:rsidRPr="00B46E34">
        <w:t>sind</w:t>
      </w:r>
      <w:r w:rsidRPr="00B46E34">
        <w:t xml:space="preserve">, „sondern sie sind oft berechtigt, verständlich und begründbar“ (Faulstich &amp; Grell, 2003, S. 3). Vor diesem Hintergrund lautet die Empfehlung: Wir müssen uns innerlich und äußerlich auf unsere Lernenden einlassen und dürfen sie und ihre Barrieren nicht bekämpfen. Wie kann das gehen? </w:t>
      </w:r>
    </w:p>
    <w:p w:rsidR="00584376" w:rsidRPr="0032540A" w:rsidRDefault="00584376" w:rsidP="00E41F74">
      <w:pPr>
        <w:pStyle w:val="AufzhlungPunkte"/>
        <w:spacing w:after="0"/>
        <w:ind w:left="714" w:hanging="357"/>
      </w:pPr>
      <w:r w:rsidRPr="00B46E34">
        <w:t>Entwickeln</w:t>
      </w:r>
      <w:r w:rsidRPr="0032540A">
        <w:t xml:space="preserve"> Sie eine Haltung der Akzeptanz</w:t>
      </w:r>
    </w:p>
    <w:p w:rsidR="00584376" w:rsidRPr="00B46E34" w:rsidRDefault="00584376" w:rsidP="00E41F74">
      <w:pPr>
        <w:pStyle w:val="AufzhlungPunkte"/>
        <w:spacing w:after="0"/>
        <w:ind w:left="714" w:hanging="357"/>
      </w:pPr>
      <w:r w:rsidRPr="00B46E34">
        <w:t>Fragen Sie nach und hören Sie aufmerksam zu, um Hintergründe zu verstehen</w:t>
      </w:r>
    </w:p>
    <w:p w:rsidR="00584376" w:rsidRDefault="00584376" w:rsidP="00E41F74">
      <w:pPr>
        <w:pStyle w:val="AufzhlungPunkte"/>
        <w:spacing w:after="0"/>
        <w:ind w:left="714" w:hanging="357"/>
      </w:pPr>
      <w:r w:rsidRPr="00B46E34">
        <w:t>Verlieren Sie nicht den Mut, sondern entwickeln Sie die Energie für das Ermöglichen immer wieder neuer Lernerfahrungen für die Teilnehmenden.</w:t>
      </w:r>
    </w:p>
    <w:p w:rsidR="00B46E34" w:rsidRPr="00B46E34" w:rsidRDefault="00E41F74" w:rsidP="00B46E34">
      <w:pPr>
        <w:pStyle w:val="Zwischenberschrift"/>
        <w:rPr>
          <w:rStyle w:val="IntensiveHervorhebung"/>
          <w:b/>
          <w:bCs w:val="0"/>
          <w:i w:val="0"/>
          <w:iCs w:val="0"/>
          <w:color w:val="000000"/>
        </w:rPr>
      </w:pPr>
      <w:r>
        <w:rPr>
          <w:rStyle w:val="IntensiveHervorhebung"/>
          <w:b/>
          <w:bCs w:val="0"/>
          <w:i w:val="0"/>
          <w:iCs w:val="0"/>
          <w:color w:val="000000"/>
        </w:rPr>
        <w:t>Präventive Didaktik</w:t>
      </w:r>
    </w:p>
    <w:p w:rsidR="00584376" w:rsidRPr="00B46E34" w:rsidRDefault="00584376" w:rsidP="00B46E34">
      <w:pPr>
        <w:pStyle w:val="Flietext"/>
      </w:pPr>
      <w:r w:rsidRPr="00B46E34">
        <w:t xml:space="preserve">Wichtig ist es, sich Gedanken zu machen wie eine präventive Didaktik gestaltet werden kann. Die </w:t>
      </w:r>
      <w:r w:rsidR="00F9005B" w:rsidRPr="00B46E34">
        <w:t>p</w:t>
      </w:r>
      <w:r w:rsidRPr="00B46E34">
        <w:t xml:space="preserve">räventive Didaktik will ganz gezielt gelingendes Lernen ermöglichen. Das Lernen soll so gestaltet werden, dass die Fähigkeiten zur Selbstbestimmung, zur Mitbestimmung und zur Solidarität und Zusammenarbeit gefördert werden. In diesem Sinne nutzt sie die Kunst der Pädagogik, um Barrieren im Lernen möglichst gar nicht erst entstehen zu lassen oder sie als Lernanlass zu nutzen. Als Kursleitende könnten Sie sich dabei von folgender Devise leiten lassen: </w:t>
      </w:r>
    </w:p>
    <w:p w:rsidR="00584376" w:rsidRPr="00E41F74" w:rsidRDefault="00584376" w:rsidP="00E41F74">
      <w:pPr>
        <w:ind w:left="567"/>
        <w:rPr>
          <w:rFonts w:ascii="Arial" w:hAnsi="Arial" w:cs="Arial"/>
          <w:i/>
          <w:sz w:val="24"/>
          <w:szCs w:val="24"/>
        </w:rPr>
      </w:pPr>
      <w:r w:rsidRPr="00E41F74">
        <w:rPr>
          <w:rFonts w:ascii="Arial" w:hAnsi="Arial" w:cs="Arial"/>
          <w:i/>
          <w:sz w:val="24"/>
          <w:szCs w:val="24"/>
        </w:rPr>
        <w:t>„‚Lernwiderstände aufdecken – selbstbestimmtes Lernen stärken’. Ganz bewusst heißt es nicht ‚Lernwiderstände bekämpfen’, und auch nicht ‚selbstbestimmtes Lernen erzeugen’. Es geht um ‚aufdecken’ und ‚stärken’, weil wir, wenn wir über Lernwiderstände reden, auch überlegen müssen, wann solche berechtigt sind.“ (Faulstich &amp; Grell, 2003, S. 1)</w:t>
      </w:r>
    </w:p>
    <w:p w:rsidR="00584376" w:rsidRPr="00B46E34" w:rsidRDefault="00E41F74" w:rsidP="00B46E34">
      <w:pPr>
        <w:pStyle w:val="Zwischenberschrift"/>
        <w:rPr>
          <w:rStyle w:val="IntensiveHervorhebung"/>
          <w:b/>
          <w:bCs w:val="0"/>
          <w:i w:val="0"/>
          <w:iCs w:val="0"/>
          <w:color w:val="000000"/>
        </w:rPr>
      </w:pPr>
      <w:r>
        <w:rPr>
          <w:rStyle w:val="IntensiveHervorhebung"/>
          <w:b/>
          <w:bCs w:val="0"/>
          <w:i w:val="0"/>
          <w:iCs w:val="0"/>
          <w:color w:val="000000"/>
        </w:rPr>
        <w:t>P</w:t>
      </w:r>
      <w:r w:rsidR="00584376" w:rsidRPr="00B46E34">
        <w:rPr>
          <w:rStyle w:val="IntensiveHervorhebung"/>
          <w:b/>
          <w:bCs w:val="0"/>
          <w:i w:val="0"/>
          <w:iCs w:val="0"/>
          <w:color w:val="000000"/>
        </w:rPr>
        <w:t>rofessionelle Selbstreflexion</w:t>
      </w:r>
    </w:p>
    <w:p w:rsidR="00584376" w:rsidRDefault="00584376" w:rsidP="00E41F74">
      <w:pPr>
        <w:pBdr>
          <w:top w:val="none" w:sz="0" w:space="0" w:color="auto"/>
          <w:left w:val="none" w:sz="0" w:space="0" w:color="auto"/>
          <w:bottom w:val="none" w:sz="0" w:space="0" w:color="auto"/>
          <w:right w:val="none" w:sz="0" w:space="0" w:color="auto"/>
        </w:pBdr>
        <w:rPr>
          <w:rFonts w:ascii="Arial" w:hAnsi="Arial" w:cs="Arial"/>
          <w:sz w:val="24"/>
          <w:szCs w:val="24"/>
        </w:rPr>
      </w:pPr>
      <w:r>
        <w:rPr>
          <w:rFonts w:ascii="Arial" w:hAnsi="Arial" w:cs="Arial"/>
          <w:sz w:val="24"/>
          <w:szCs w:val="24"/>
        </w:rPr>
        <w:lastRenderedPageBreak/>
        <w:t>W</w:t>
      </w:r>
      <w:r w:rsidRPr="007523B9">
        <w:rPr>
          <w:rFonts w:ascii="Arial" w:hAnsi="Arial" w:cs="Arial"/>
          <w:sz w:val="24"/>
          <w:szCs w:val="24"/>
        </w:rPr>
        <w:t xml:space="preserve">ann, wo und warum </w:t>
      </w:r>
      <w:r>
        <w:rPr>
          <w:rFonts w:ascii="Arial" w:hAnsi="Arial" w:cs="Arial"/>
          <w:sz w:val="24"/>
          <w:szCs w:val="24"/>
        </w:rPr>
        <w:t xml:space="preserve">haben </w:t>
      </w:r>
      <w:r w:rsidRPr="007523B9">
        <w:rPr>
          <w:rFonts w:ascii="Arial" w:hAnsi="Arial" w:cs="Arial"/>
          <w:sz w:val="24"/>
          <w:szCs w:val="24"/>
        </w:rPr>
        <w:t xml:space="preserve">sich im eigenen Lernen Barrieren aufgetan, die überwunden werden mussten, um den </w:t>
      </w:r>
      <w:r>
        <w:rPr>
          <w:rFonts w:ascii="Arial" w:hAnsi="Arial" w:cs="Arial"/>
          <w:sz w:val="24"/>
          <w:szCs w:val="24"/>
        </w:rPr>
        <w:t>Lernerfolg zu sichern?</w:t>
      </w:r>
      <w:r w:rsidRPr="007523B9">
        <w:rPr>
          <w:rFonts w:ascii="Arial" w:hAnsi="Arial" w:cs="Arial"/>
          <w:sz w:val="24"/>
          <w:szCs w:val="24"/>
        </w:rPr>
        <w:t xml:space="preserve"> Sich an die eigenen Lernbarrieren</w:t>
      </w:r>
      <w:r>
        <w:rPr>
          <w:rFonts w:ascii="Arial" w:hAnsi="Arial" w:cs="Arial"/>
          <w:sz w:val="24"/>
          <w:szCs w:val="24"/>
        </w:rPr>
        <w:t>, ihre Funktion und Wirkungen</w:t>
      </w:r>
      <w:r w:rsidRPr="007523B9">
        <w:rPr>
          <w:rFonts w:ascii="Arial" w:hAnsi="Arial" w:cs="Arial"/>
          <w:sz w:val="24"/>
          <w:szCs w:val="24"/>
        </w:rPr>
        <w:t xml:space="preserve"> und die Wege zu ihrer Überwindung zu erinnern, erleichtert das Verständnis für die vielfältigen Lernbarrieren, mit denen Sie heute in der Bildungspraxis konfrontiert werden. </w:t>
      </w:r>
      <w:r>
        <w:rPr>
          <w:rFonts w:ascii="Arial" w:hAnsi="Arial" w:cs="Arial"/>
          <w:sz w:val="24"/>
          <w:szCs w:val="24"/>
        </w:rPr>
        <w:t>Dabei lohnt es auch, der Frage nachzugehen, was aus der Erfahrung mit Lernbarrieren zu lernen war und ist.</w:t>
      </w:r>
    </w:p>
    <w:p w:rsidR="00584376" w:rsidRPr="00B46E34" w:rsidRDefault="00E41F74" w:rsidP="00B46E34">
      <w:pPr>
        <w:pStyle w:val="Zwischenberschrift"/>
        <w:rPr>
          <w:rStyle w:val="IntensiveHervorhebung"/>
          <w:b/>
          <w:bCs w:val="0"/>
          <w:i w:val="0"/>
          <w:iCs w:val="0"/>
          <w:color w:val="000000"/>
        </w:rPr>
      </w:pPr>
      <w:r>
        <w:rPr>
          <w:rStyle w:val="IntensiveHervorhebung"/>
          <w:b/>
          <w:bCs w:val="0"/>
          <w:i w:val="0"/>
          <w:iCs w:val="0"/>
          <w:color w:val="000000"/>
        </w:rPr>
        <w:t>Interaktion mit den Lernenden</w:t>
      </w:r>
    </w:p>
    <w:p w:rsidR="00584376" w:rsidRPr="007523B9" w:rsidRDefault="00584376" w:rsidP="00E41F74">
      <w:pPr>
        <w:pBdr>
          <w:top w:val="none" w:sz="0" w:space="0" w:color="auto"/>
          <w:left w:val="none" w:sz="0" w:space="0" w:color="auto"/>
          <w:bottom w:val="none" w:sz="0" w:space="0" w:color="auto"/>
          <w:right w:val="none" w:sz="0" w:space="0" w:color="auto"/>
        </w:pBdr>
        <w:rPr>
          <w:rFonts w:ascii="Arial" w:hAnsi="Arial" w:cs="Arial"/>
          <w:sz w:val="24"/>
          <w:szCs w:val="24"/>
        </w:rPr>
      </w:pPr>
      <w:r>
        <w:rPr>
          <w:rFonts w:ascii="Arial" w:hAnsi="Arial" w:cs="Arial"/>
          <w:sz w:val="24"/>
          <w:szCs w:val="24"/>
        </w:rPr>
        <w:t xml:space="preserve">Es ist ein lohnender Weg, mit Lernenden über ihr eigenes Lernen gemeinsam nachzudenken. Lernbiographische Reflexionen ermöglichen Lernenden einen Zugang zu den von ihnen in Schule und anderen Lernfelder erworbenen Haltungen zu Lernen und Lerngewohnheiten. Lernbarrieren lassen sich vielfach </w:t>
      </w:r>
      <w:r w:rsidRPr="00802FB9">
        <w:rPr>
          <w:rFonts w:ascii="Arial" w:hAnsi="Arial" w:cs="Arial"/>
          <w:b/>
          <w:sz w:val="24"/>
          <w:szCs w:val="24"/>
        </w:rPr>
        <w:t>biographisch</w:t>
      </w:r>
      <w:r>
        <w:rPr>
          <w:rFonts w:ascii="Arial" w:hAnsi="Arial" w:cs="Arial"/>
          <w:sz w:val="24"/>
          <w:szCs w:val="24"/>
        </w:rPr>
        <w:t xml:space="preserve"> erklären. Damit ist eine zentrale Voraussetzung für deren Bearbeitung gegeben. </w:t>
      </w:r>
    </w:p>
    <w:p w:rsidR="00584376" w:rsidRPr="00B46E34" w:rsidRDefault="00584376" w:rsidP="00B46E34">
      <w:pPr>
        <w:pStyle w:val="Zwischenberschrift"/>
        <w:rPr>
          <w:rStyle w:val="IntensiveHervorhebung"/>
          <w:b/>
          <w:bCs w:val="0"/>
          <w:i w:val="0"/>
          <w:iCs w:val="0"/>
          <w:color w:val="000000"/>
        </w:rPr>
      </w:pPr>
      <w:r w:rsidRPr="00B46E34">
        <w:rPr>
          <w:rStyle w:val="IntensiveHervorhebung"/>
          <w:b/>
          <w:bCs w:val="0"/>
          <w:i w:val="0"/>
          <w:iCs w:val="0"/>
          <w:color w:val="000000"/>
        </w:rPr>
        <w:t>Förderung der Lernbeweglichkeit der Lernenden</w:t>
      </w:r>
    </w:p>
    <w:p w:rsidR="00584376" w:rsidRDefault="00584376" w:rsidP="00E41F74">
      <w:pPr>
        <w:pBdr>
          <w:top w:val="none" w:sz="0" w:space="0" w:color="auto"/>
          <w:left w:val="none" w:sz="0" w:space="0" w:color="auto"/>
          <w:bottom w:val="none" w:sz="0" w:space="0" w:color="auto"/>
          <w:right w:val="none" w:sz="0" w:space="0" w:color="auto"/>
        </w:pBdr>
        <w:rPr>
          <w:rFonts w:ascii="Arial" w:hAnsi="Arial" w:cs="Arial"/>
          <w:sz w:val="24"/>
          <w:szCs w:val="24"/>
        </w:rPr>
      </w:pPr>
      <w:r>
        <w:rPr>
          <w:rFonts w:ascii="Arial" w:hAnsi="Arial" w:cs="Arial"/>
          <w:sz w:val="24"/>
          <w:szCs w:val="24"/>
        </w:rPr>
        <w:t xml:space="preserve">Weil Geringqualifizierte oftmals festgefahrene Vorstellungen davon haben, Lernen erfolge nach dem </w:t>
      </w:r>
      <w:r w:rsidRPr="00802FB9">
        <w:rPr>
          <w:rFonts w:ascii="Arial" w:hAnsi="Arial" w:cs="Arial"/>
          <w:i/>
          <w:sz w:val="24"/>
          <w:szCs w:val="24"/>
        </w:rPr>
        <w:t>Nürnberger-Trichter-Modell</w:t>
      </w:r>
      <w:r>
        <w:rPr>
          <w:rFonts w:ascii="Arial" w:hAnsi="Arial" w:cs="Arial"/>
          <w:sz w:val="24"/>
          <w:szCs w:val="24"/>
        </w:rPr>
        <w:t>, empfiehlt es sich, ihnen ein Lernen mit allen Sinnen zu ermöglichen und sie zu Erfahrungen mit einem Lernen, das auch Freude und Spaß bereiten kann, einzuladen. Das Motto „</w:t>
      </w:r>
      <w:r w:rsidRPr="00802FB9">
        <w:rPr>
          <w:rFonts w:ascii="Arial" w:hAnsi="Arial" w:cs="Arial"/>
          <w:b/>
          <w:sz w:val="24"/>
          <w:szCs w:val="24"/>
        </w:rPr>
        <w:t>Lernen kann viele Gesichter haben</w:t>
      </w:r>
      <w:r>
        <w:rPr>
          <w:rFonts w:ascii="Arial" w:hAnsi="Arial" w:cs="Arial"/>
          <w:sz w:val="24"/>
          <w:szCs w:val="24"/>
        </w:rPr>
        <w:t>“</w:t>
      </w:r>
      <w:r w:rsidR="00E41F74">
        <w:rPr>
          <w:rFonts w:ascii="Arial" w:hAnsi="Arial" w:cs="Arial"/>
          <w:sz w:val="24"/>
          <w:szCs w:val="24"/>
        </w:rPr>
        <w:t xml:space="preserve">, </w:t>
      </w:r>
      <w:r>
        <w:rPr>
          <w:rFonts w:ascii="Arial" w:hAnsi="Arial" w:cs="Arial"/>
          <w:sz w:val="24"/>
          <w:szCs w:val="24"/>
        </w:rPr>
        <w:t>kann wie ein roter Faden einen Kurs durchziehen.</w:t>
      </w:r>
    </w:p>
    <w:p w:rsidR="00584376" w:rsidRPr="00B46E34" w:rsidRDefault="00E41F74" w:rsidP="00B46E34">
      <w:pPr>
        <w:pStyle w:val="Zwischenberschrift"/>
        <w:rPr>
          <w:rStyle w:val="IntensiveHervorhebung"/>
          <w:b/>
          <w:bCs w:val="0"/>
          <w:i w:val="0"/>
          <w:iCs w:val="0"/>
          <w:color w:val="000000"/>
        </w:rPr>
      </w:pPr>
      <w:r>
        <w:rPr>
          <w:rStyle w:val="IntensiveHervorhebung"/>
          <w:b/>
          <w:bCs w:val="0"/>
          <w:i w:val="0"/>
          <w:iCs w:val="0"/>
          <w:color w:val="000000"/>
        </w:rPr>
        <w:t>K</w:t>
      </w:r>
      <w:r w:rsidR="00584376" w:rsidRPr="00B46E34">
        <w:rPr>
          <w:rStyle w:val="IntensiveHervorhebung"/>
          <w:b/>
          <w:bCs w:val="0"/>
          <w:i w:val="0"/>
          <w:iCs w:val="0"/>
          <w:color w:val="000000"/>
        </w:rPr>
        <w:t xml:space="preserve">onsequente Orientierung an den Lerninteressen der Lernenden </w:t>
      </w:r>
    </w:p>
    <w:p w:rsidR="00584376" w:rsidRDefault="00584376" w:rsidP="00E41F74">
      <w:pPr>
        <w:pBdr>
          <w:top w:val="none" w:sz="0" w:space="0" w:color="auto"/>
          <w:left w:val="none" w:sz="0" w:space="0" w:color="auto"/>
          <w:bottom w:val="none" w:sz="0" w:space="0" w:color="auto"/>
          <w:right w:val="none" w:sz="0" w:space="0" w:color="auto"/>
        </w:pBdr>
        <w:rPr>
          <w:rFonts w:ascii="Arial" w:hAnsi="Arial" w:cs="Arial"/>
          <w:sz w:val="24"/>
          <w:szCs w:val="24"/>
        </w:rPr>
      </w:pPr>
      <w:r>
        <w:rPr>
          <w:rFonts w:ascii="Arial" w:hAnsi="Arial" w:cs="Arial"/>
          <w:sz w:val="24"/>
          <w:szCs w:val="24"/>
        </w:rPr>
        <w:t>Menschen lernen dann, wenn sie mit dem, was als zu Lernendes ansteht, eigene Inter</w:t>
      </w:r>
      <w:r w:rsidR="00FA7410">
        <w:rPr>
          <w:rFonts w:ascii="Arial" w:hAnsi="Arial" w:cs="Arial"/>
          <w:sz w:val="24"/>
          <w:szCs w:val="24"/>
        </w:rPr>
        <w:t>essen verbinden</w:t>
      </w:r>
      <w:r>
        <w:rPr>
          <w:rFonts w:ascii="Arial" w:hAnsi="Arial" w:cs="Arial"/>
          <w:sz w:val="24"/>
          <w:szCs w:val="24"/>
        </w:rPr>
        <w:t>. Die Frage nach Lerninteressen ist die Frage nach den Gründen für das Lernen der Teilnehmenden: Macht es für sie Sinn, dieses Lernangebot wahrzunehmen und lohnt es für sie, dass sie ihre Zeit, ihre Energie in diese Lernanstrengung stecken? Kommt dabei für sie was raus? Und ist der Kurs derzeit für sie s</w:t>
      </w:r>
      <w:r w:rsidR="005A29CA">
        <w:rPr>
          <w:rFonts w:ascii="Arial" w:hAnsi="Arial" w:cs="Arial"/>
          <w:sz w:val="24"/>
          <w:szCs w:val="24"/>
        </w:rPr>
        <w:t>innvoll? All diese Fragen um</w:t>
      </w:r>
      <w:r>
        <w:rPr>
          <w:rFonts w:ascii="Arial" w:hAnsi="Arial" w:cs="Arial"/>
          <w:sz w:val="24"/>
          <w:szCs w:val="24"/>
        </w:rPr>
        <w:t xml:space="preserve"> Lerninteresse</w:t>
      </w:r>
      <w:r w:rsidR="005A29CA">
        <w:rPr>
          <w:rFonts w:ascii="Arial" w:hAnsi="Arial" w:cs="Arial"/>
          <w:sz w:val="24"/>
          <w:szCs w:val="24"/>
        </w:rPr>
        <w:t>n</w:t>
      </w:r>
      <w:r>
        <w:rPr>
          <w:rFonts w:ascii="Arial" w:hAnsi="Arial" w:cs="Arial"/>
          <w:sz w:val="24"/>
          <w:szCs w:val="24"/>
        </w:rPr>
        <w:t xml:space="preserve"> können sich im Inneren der Teilnehmenden abspielen. Die Fragen zum Lerninteresse zu verbalisieren und zum Lerngegenstand zu machen ist ein Ansatz, Lernbarrieren entgegen zu wirken und </w:t>
      </w:r>
      <w:r w:rsidRPr="00802FB9">
        <w:rPr>
          <w:rFonts w:ascii="Arial" w:hAnsi="Arial" w:cs="Arial"/>
          <w:b/>
          <w:sz w:val="24"/>
          <w:szCs w:val="24"/>
        </w:rPr>
        <w:t>selbstbestimmtes Lernen</w:t>
      </w:r>
      <w:r w:rsidR="00E41F74">
        <w:rPr>
          <w:rFonts w:ascii="Arial" w:hAnsi="Arial" w:cs="Arial"/>
          <w:sz w:val="24"/>
          <w:szCs w:val="24"/>
        </w:rPr>
        <w:t xml:space="preserve"> </w:t>
      </w:r>
      <w:r>
        <w:rPr>
          <w:rFonts w:ascii="Arial" w:hAnsi="Arial" w:cs="Arial"/>
          <w:sz w:val="24"/>
          <w:szCs w:val="24"/>
        </w:rPr>
        <w:t>zu stärken.</w:t>
      </w:r>
    </w:p>
    <w:p w:rsidR="00584376" w:rsidRDefault="00584376" w:rsidP="00584376">
      <w:pPr>
        <w:spacing w:line="360" w:lineRule="auto"/>
        <w:rPr>
          <w:rFonts w:ascii="Arial" w:eastAsia="Arial" w:hAnsi="Arial" w:cs="Arial"/>
          <w:i/>
          <w:iCs/>
          <w:sz w:val="24"/>
          <w:szCs w:val="24"/>
          <w:lang w:val="en-GB"/>
        </w:rPr>
      </w:pPr>
      <w:r w:rsidRPr="00CD2900">
        <w:rPr>
          <w:rFonts w:ascii="Arial" w:eastAsia="Arial" w:hAnsi="Arial" w:cs="Arial"/>
          <w:i/>
          <w:iCs/>
          <w:sz w:val="24"/>
          <w:szCs w:val="24"/>
          <w:lang w:val="en-GB"/>
        </w:rPr>
        <w:t>CC BY SA 3.0</w:t>
      </w:r>
      <w:r w:rsidR="00B46E34">
        <w:rPr>
          <w:rFonts w:ascii="Arial" w:eastAsia="Arial" w:hAnsi="Arial" w:cs="Arial"/>
          <w:i/>
          <w:iCs/>
          <w:sz w:val="24"/>
          <w:szCs w:val="24"/>
          <w:lang w:val="en-GB"/>
        </w:rPr>
        <w:t xml:space="preserve"> DE</w:t>
      </w:r>
      <w:r w:rsidRPr="00CD2900">
        <w:rPr>
          <w:rFonts w:ascii="Arial" w:eastAsia="Arial" w:hAnsi="Arial" w:cs="Arial"/>
          <w:i/>
          <w:iCs/>
          <w:sz w:val="24"/>
          <w:szCs w:val="24"/>
          <w:lang w:val="en-GB"/>
        </w:rPr>
        <w:t xml:space="preserve"> by </w:t>
      </w:r>
      <w:r w:rsidRPr="00B46E34">
        <w:rPr>
          <w:rFonts w:ascii="Arial" w:eastAsia="Arial" w:hAnsi="Arial" w:cs="Arial"/>
          <w:b/>
          <w:i/>
          <w:iCs/>
          <w:sz w:val="24"/>
          <w:szCs w:val="24"/>
          <w:lang w:val="en-GB"/>
        </w:rPr>
        <w:t>Rosemarie Klein</w:t>
      </w:r>
      <w:r w:rsidRPr="00CD2900">
        <w:rPr>
          <w:rFonts w:ascii="Arial" w:eastAsia="Arial" w:hAnsi="Arial" w:cs="Arial"/>
          <w:i/>
          <w:iCs/>
          <w:sz w:val="24"/>
          <w:szCs w:val="24"/>
          <w:lang w:val="en-GB"/>
        </w:rPr>
        <w:t xml:space="preserve"> </w:t>
      </w:r>
      <w:proofErr w:type="spellStart"/>
      <w:r w:rsidRPr="00CD2900">
        <w:rPr>
          <w:rFonts w:ascii="Arial" w:eastAsia="Arial" w:hAnsi="Arial" w:cs="Arial"/>
          <w:i/>
          <w:iCs/>
          <w:sz w:val="24"/>
          <w:szCs w:val="24"/>
          <w:lang w:val="en-GB"/>
        </w:rPr>
        <w:t>für</w:t>
      </w:r>
      <w:proofErr w:type="spellEnd"/>
      <w:r w:rsidRPr="00CD2900">
        <w:rPr>
          <w:rFonts w:ascii="Arial" w:eastAsia="Arial" w:hAnsi="Arial" w:cs="Arial"/>
          <w:i/>
          <w:iCs/>
          <w:sz w:val="24"/>
          <w:szCs w:val="24"/>
          <w:lang w:val="en-GB"/>
        </w:rPr>
        <w:t xml:space="preserve"> </w:t>
      </w:r>
      <w:proofErr w:type="spellStart"/>
      <w:r w:rsidRPr="00CD2900">
        <w:rPr>
          <w:rFonts w:ascii="Arial" w:eastAsia="Arial" w:hAnsi="Arial" w:cs="Arial"/>
          <w:i/>
          <w:iCs/>
          <w:sz w:val="24"/>
          <w:szCs w:val="24"/>
          <w:lang w:val="en-GB"/>
        </w:rPr>
        <w:t>wb</w:t>
      </w:r>
      <w:proofErr w:type="spellEnd"/>
      <w:r w:rsidRPr="00CD2900">
        <w:rPr>
          <w:rFonts w:ascii="Arial" w:eastAsia="Arial" w:hAnsi="Arial" w:cs="Arial"/>
          <w:i/>
          <w:iCs/>
          <w:sz w:val="24"/>
          <w:szCs w:val="24"/>
          <w:lang w:val="en-GB"/>
        </w:rPr>
        <w:t>-web</w:t>
      </w:r>
    </w:p>
    <w:p w:rsidR="005A29CA" w:rsidRPr="00F9005B" w:rsidRDefault="00B46E34" w:rsidP="00B46E34">
      <w:pPr>
        <w:pStyle w:val="Zwischenberschrift"/>
      </w:pPr>
      <w:r>
        <w:t>Quellen</w:t>
      </w:r>
    </w:p>
    <w:p w:rsidR="005A29CA" w:rsidRPr="00B46E34" w:rsidRDefault="00546FA4" w:rsidP="00B46E34">
      <w:pPr>
        <w:pStyle w:val="Quelle"/>
      </w:pPr>
      <w:r w:rsidRPr="00F9005B">
        <w:t xml:space="preserve">Faulstich, Peter &amp; Grell, Petra (2003): Lernwiderstände aufdecken – Selbstbestimmtes Lernen stärken. Online: </w:t>
      </w:r>
      <w:hyperlink r:id="rId11" w:history="1">
        <w:r w:rsidRPr="00F9005B">
          <w:rPr>
            <w:rStyle w:val="Hyperlink"/>
          </w:rPr>
          <w:t>www.die-bonn.de/esprid/dokumente/doc-2003/faulstich03_01.pdf</w:t>
        </w:r>
      </w:hyperlink>
      <w:r w:rsidRPr="00F9005B">
        <w:t xml:space="preserve">. </w:t>
      </w:r>
    </w:p>
    <w:sectPr w:rsidR="005A29CA" w:rsidRPr="00B46E34"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FD" w:rsidRDefault="008137FD" w:rsidP="00014AE4">
      <w:pPr>
        <w:spacing w:after="0" w:line="240" w:lineRule="auto"/>
      </w:pPr>
      <w:r>
        <w:separator/>
      </w:r>
    </w:p>
  </w:endnote>
  <w:endnote w:type="continuationSeparator" w:id="0">
    <w:p w:rsidR="008137FD" w:rsidRDefault="008137FD"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01" w:rsidRDefault="0070320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01" w:rsidRDefault="00703201" w:rsidP="00703201">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703201" w:rsidRDefault="00703201" w:rsidP="00703201">
    <w:pPr>
      <w:autoSpaceDE w:val="0"/>
      <w:autoSpaceDN w:val="0"/>
      <w:adjustRightInd w:val="0"/>
      <w:spacing w:after="0" w:line="240" w:lineRule="auto"/>
      <w:rPr>
        <w:rFonts w:ascii="DINPro" w:hAnsi="DINPro" w:cs="DINPro"/>
        <w:color w:val="333333"/>
        <w:sz w:val="16"/>
        <w:szCs w:val="16"/>
      </w:rPr>
    </w:pPr>
  </w:p>
  <w:p w:rsidR="00703201" w:rsidRDefault="00703201" w:rsidP="00703201">
    <w:pPr>
      <w:autoSpaceDE w:val="0"/>
      <w:autoSpaceDN w:val="0"/>
      <w:adjustRightInd w:val="0"/>
      <w:spacing w:after="0" w:line="240" w:lineRule="auto"/>
      <w:rPr>
        <w:rFonts w:ascii="DINPro" w:hAnsi="DINPro" w:cs="DINPro"/>
        <w:color w:val="333333"/>
        <w:sz w:val="16"/>
        <w:szCs w:val="16"/>
      </w:rPr>
    </w:pPr>
  </w:p>
  <w:p w:rsidR="004C118C" w:rsidRPr="00703201" w:rsidRDefault="00703201" w:rsidP="00703201">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01" w:rsidRDefault="0070320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FD" w:rsidRDefault="008137FD" w:rsidP="00014AE4">
      <w:pPr>
        <w:spacing w:after="0" w:line="240" w:lineRule="auto"/>
      </w:pPr>
      <w:r>
        <w:separator/>
      </w:r>
    </w:p>
  </w:footnote>
  <w:footnote w:type="continuationSeparator" w:id="0">
    <w:p w:rsidR="008137FD" w:rsidRDefault="008137FD"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01" w:rsidRDefault="0070320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8C" w:rsidRDefault="004C118C">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2F1730" w:rsidRPr="002F1730">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10241" type="#_x0000_t202" style="position:absolute;margin-left:.5pt;margin-top:17pt;width:60.75pt;height:29.8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XIAIAABwEAAAOAAAAZHJzL2Uyb0RvYy54bWysU9tuGyEQfa/Uf0C812tv7dh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" stroked="f">
          <v:textbox style="mso-fit-shape-to-text:t">
            <w:txbxContent>
              <w:p w:rsidR="004C118C" w:rsidRPr="00AC2223" w:rsidRDefault="004C118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01" w:rsidRDefault="0070320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F87711"/>
    <w:multiLevelType w:val="hybridMultilevel"/>
    <w:tmpl w:val="148C8066"/>
    <w:lvl w:ilvl="0" w:tplc="09126F7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E1509B"/>
    <w:multiLevelType w:val="hybridMultilevel"/>
    <w:tmpl w:val="234C7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4D5DF4"/>
    <w:multiLevelType w:val="hybridMultilevel"/>
    <w:tmpl w:val="661C9810"/>
    <w:lvl w:ilvl="0" w:tplc="7876D9D8">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DCD0282"/>
    <w:multiLevelType w:val="hybridMultilevel"/>
    <w:tmpl w:val="FEB8A740"/>
    <w:lvl w:ilvl="0" w:tplc="36246A2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3943CA"/>
    <w:multiLevelType w:val="hybridMultilevel"/>
    <w:tmpl w:val="E2AC6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7F4344"/>
    <w:multiLevelType w:val="hybridMultilevel"/>
    <w:tmpl w:val="92C4FA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112189F"/>
    <w:multiLevelType w:val="hybridMultilevel"/>
    <w:tmpl w:val="7806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 w:numId="8">
    <w:abstractNumId w:val="8"/>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527C57"/>
    <w:rsid w:val="00014AE4"/>
    <w:rsid w:val="000261B7"/>
    <w:rsid w:val="00044CA5"/>
    <w:rsid w:val="000607B0"/>
    <w:rsid w:val="0006139F"/>
    <w:rsid w:val="00062C94"/>
    <w:rsid w:val="000A44F1"/>
    <w:rsid w:val="000B1727"/>
    <w:rsid w:val="000B3CE7"/>
    <w:rsid w:val="000C6BAB"/>
    <w:rsid w:val="000E4BEB"/>
    <w:rsid w:val="000E5A0E"/>
    <w:rsid w:val="000F4B39"/>
    <w:rsid w:val="001365A1"/>
    <w:rsid w:val="0017476E"/>
    <w:rsid w:val="001E6EC9"/>
    <w:rsid w:val="001F1A05"/>
    <w:rsid w:val="002064B8"/>
    <w:rsid w:val="00206FAA"/>
    <w:rsid w:val="0022296F"/>
    <w:rsid w:val="00224E14"/>
    <w:rsid w:val="0025002E"/>
    <w:rsid w:val="00297954"/>
    <w:rsid w:val="002D697C"/>
    <w:rsid w:val="002E54B4"/>
    <w:rsid w:val="002F1730"/>
    <w:rsid w:val="00333725"/>
    <w:rsid w:val="00334459"/>
    <w:rsid w:val="00334BB7"/>
    <w:rsid w:val="00347C6E"/>
    <w:rsid w:val="00373373"/>
    <w:rsid w:val="003764FE"/>
    <w:rsid w:val="00377038"/>
    <w:rsid w:val="00382787"/>
    <w:rsid w:val="00386FBE"/>
    <w:rsid w:val="003B5DB8"/>
    <w:rsid w:val="003D7BD1"/>
    <w:rsid w:val="003E4F34"/>
    <w:rsid w:val="00442210"/>
    <w:rsid w:val="00443362"/>
    <w:rsid w:val="00447DB4"/>
    <w:rsid w:val="0047526E"/>
    <w:rsid w:val="0048036C"/>
    <w:rsid w:val="004920D1"/>
    <w:rsid w:val="00492379"/>
    <w:rsid w:val="004955FF"/>
    <w:rsid w:val="004A24FC"/>
    <w:rsid w:val="004A33CC"/>
    <w:rsid w:val="004C118C"/>
    <w:rsid w:val="004D1831"/>
    <w:rsid w:val="004E3392"/>
    <w:rsid w:val="004F1BB1"/>
    <w:rsid w:val="004F3AB6"/>
    <w:rsid w:val="00506977"/>
    <w:rsid w:val="00511225"/>
    <w:rsid w:val="00527C57"/>
    <w:rsid w:val="00546FA4"/>
    <w:rsid w:val="00567603"/>
    <w:rsid w:val="00574BEB"/>
    <w:rsid w:val="00584376"/>
    <w:rsid w:val="005845D4"/>
    <w:rsid w:val="0059379E"/>
    <w:rsid w:val="005A29CA"/>
    <w:rsid w:val="005B2946"/>
    <w:rsid w:val="005C0361"/>
    <w:rsid w:val="005C2A2F"/>
    <w:rsid w:val="005C2CA7"/>
    <w:rsid w:val="005C6FB1"/>
    <w:rsid w:val="005C720A"/>
    <w:rsid w:val="005F75D4"/>
    <w:rsid w:val="006027BA"/>
    <w:rsid w:val="00610E1B"/>
    <w:rsid w:val="006117E2"/>
    <w:rsid w:val="00611CEB"/>
    <w:rsid w:val="0061648F"/>
    <w:rsid w:val="00621195"/>
    <w:rsid w:val="006246A2"/>
    <w:rsid w:val="00635D7A"/>
    <w:rsid w:val="00644429"/>
    <w:rsid w:val="00655467"/>
    <w:rsid w:val="0067451F"/>
    <w:rsid w:val="006754A7"/>
    <w:rsid w:val="006830B2"/>
    <w:rsid w:val="0069282B"/>
    <w:rsid w:val="006B510F"/>
    <w:rsid w:val="006D5D2F"/>
    <w:rsid w:val="006D6ED3"/>
    <w:rsid w:val="006D7063"/>
    <w:rsid w:val="006E6866"/>
    <w:rsid w:val="00703201"/>
    <w:rsid w:val="007212E7"/>
    <w:rsid w:val="00723B4B"/>
    <w:rsid w:val="00725D53"/>
    <w:rsid w:val="0074519A"/>
    <w:rsid w:val="00745EE5"/>
    <w:rsid w:val="0074684B"/>
    <w:rsid w:val="00752BB9"/>
    <w:rsid w:val="00760B09"/>
    <w:rsid w:val="00784A82"/>
    <w:rsid w:val="007930AE"/>
    <w:rsid w:val="007F6A48"/>
    <w:rsid w:val="00800318"/>
    <w:rsid w:val="00812C0C"/>
    <w:rsid w:val="008137FD"/>
    <w:rsid w:val="00822812"/>
    <w:rsid w:val="00860F79"/>
    <w:rsid w:val="00862F3E"/>
    <w:rsid w:val="0086431D"/>
    <w:rsid w:val="008927A5"/>
    <w:rsid w:val="00897214"/>
    <w:rsid w:val="008A1B1C"/>
    <w:rsid w:val="008A5B71"/>
    <w:rsid w:val="008C17FE"/>
    <w:rsid w:val="008C1D48"/>
    <w:rsid w:val="008C3DF7"/>
    <w:rsid w:val="008F62BB"/>
    <w:rsid w:val="00910E5C"/>
    <w:rsid w:val="00913C77"/>
    <w:rsid w:val="0094444B"/>
    <w:rsid w:val="009470F6"/>
    <w:rsid w:val="0095483E"/>
    <w:rsid w:val="00993FFF"/>
    <w:rsid w:val="009C12F5"/>
    <w:rsid w:val="00A133C5"/>
    <w:rsid w:val="00A56228"/>
    <w:rsid w:val="00A651A5"/>
    <w:rsid w:val="00A7652F"/>
    <w:rsid w:val="00A816E9"/>
    <w:rsid w:val="00A96B58"/>
    <w:rsid w:val="00AC2223"/>
    <w:rsid w:val="00AC7A92"/>
    <w:rsid w:val="00AD0BB8"/>
    <w:rsid w:val="00AD63E0"/>
    <w:rsid w:val="00AE688F"/>
    <w:rsid w:val="00AF47BF"/>
    <w:rsid w:val="00B01655"/>
    <w:rsid w:val="00B10C37"/>
    <w:rsid w:val="00B11ED0"/>
    <w:rsid w:val="00B27E74"/>
    <w:rsid w:val="00B46E34"/>
    <w:rsid w:val="00B70DAA"/>
    <w:rsid w:val="00BC2391"/>
    <w:rsid w:val="00BC30F8"/>
    <w:rsid w:val="00BC62A2"/>
    <w:rsid w:val="00BF0EBA"/>
    <w:rsid w:val="00C047E5"/>
    <w:rsid w:val="00C048A3"/>
    <w:rsid w:val="00C07190"/>
    <w:rsid w:val="00C112E9"/>
    <w:rsid w:val="00C141FA"/>
    <w:rsid w:val="00C22162"/>
    <w:rsid w:val="00C3075E"/>
    <w:rsid w:val="00C54378"/>
    <w:rsid w:val="00C675B9"/>
    <w:rsid w:val="00C862FA"/>
    <w:rsid w:val="00C93D17"/>
    <w:rsid w:val="00CA2424"/>
    <w:rsid w:val="00CC6DAD"/>
    <w:rsid w:val="00CD49A8"/>
    <w:rsid w:val="00CE4FEA"/>
    <w:rsid w:val="00CE518C"/>
    <w:rsid w:val="00D153FF"/>
    <w:rsid w:val="00D17A67"/>
    <w:rsid w:val="00D31349"/>
    <w:rsid w:val="00D44C85"/>
    <w:rsid w:val="00D532A4"/>
    <w:rsid w:val="00D56BC4"/>
    <w:rsid w:val="00D60CB2"/>
    <w:rsid w:val="00D620D3"/>
    <w:rsid w:val="00D71297"/>
    <w:rsid w:val="00DB4FF9"/>
    <w:rsid w:val="00DC42A5"/>
    <w:rsid w:val="00DC7753"/>
    <w:rsid w:val="00DF24E3"/>
    <w:rsid w:val="00DF4C34"/>
    <w:rsid w:val="00E03B30"/>
    <w:rsid w:val="00E056E0"/>
    <w:rsid w:val="00E33E28"/>
    <w:rsid w:val="00E41F74"/>
    <w:rsid w:val="00E53294"/>
    <w:rsid w:val="00E5546C"/>
    <w:rsid w:val="00E57792"/>
    <w:rsid w:val="00E678F7"/>
    <w:rsid w:val="00E7746D"/>
    <w:rsid w:val="00E84DD0"/>
    <w:rsid w:val="00E96876"/>
    <w:rsid w:val="00EC2625"/>
    <w:rsid w:val="00EC6AF8"/>
    <w:rsid w:val="00ED0DBD"/>
    <w:rsid w:val="00ED65AA"/>
    <w:rsid w:val="00EE4F80"/>
    <w:rsid w:val="00EF4865"/>
    <w:rsid w:val="00F264BA"/>
    <w:rsid w:val="00F571CE"/>
    <w:rsid w:val="00F822AC"/>
    <w:rsid w:val="00F9005B"/>
    <w:rsid w:val="00FA1867"/>
    <w:rsid w:val="00FA7410"/>
    <w:rsid w:val="00FD3039"/>
    <w:rsid w:val="00FD3A72"/>
    <w:rsid w:val="00FD4313"/>
    <w:rsid w:val="00FE317C"/>
    <w:rsid w:val="00FE5D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8F62B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0318"/>
    <w:pPr>
      <w:ind w:left="720"/>
      <w:contextualSpacing/>
    </w:pPr>
  </w:style>
  <w:style w:type="character" w:styleId="Hyperlink">
    <w:name w:val="Hyperlink"/>
    <w:basedOn w:val="Absatz-Standardschriftart"/>
    <w:uiPriority w:val="99"/>
    <w:unhideWhenUsed/>
    <w:rsid w:val="00BC30F8"/>
    <w:rPr>
      <w:color w:val="0000FF" w:themeColor="hyperlink"/>
      <w:u w:val="single"/>
    </w:rPr>
  </w:style>
  <w:style w:type="character" w:styleId="HTMLZitat">
    <w:name w:val="HTML Cite"/>
    <w:basedOn w:val="Absatz-Standardschriftart"/>
    <w:uiPriority w:val="99"/>
    <w:semiHidden/>
    <w:unhideWhenUsed/>
    <w:rsid w:val="00E7746D"/>
    <w:rPr>
      <w:i/>
      <w:iCs/>
    </w:rPr>
  </w:style>
  <w:style w:type="character" w:customStyle="1" w:styleId="berschrift1Zchn">
    <w:name w:val="Überschrift 1 Zchn"/>
    <w:basedOn w:val="Absatz-Standardschriftart"/>
    <w:link w:val="berschrift1"/>
    <w:uiPriority w:val="9"/>
    <w:rsid w:val="008F62BB"/>
    <w:rPr>
      <w:rFonts w:asciiTheme="majorHAnsi" w:eastAsiaTheme="majorEastAsia" w:hAnsiTheme="majorHAnsi" w:cstheme="majorBidi"/>
      <w:b/>
      <w:bCs/>
      <w:color w:val="345A8A" w:themeColor="accent1" w:themeShade="B5"/>
      <w:sz w:val="32"/>
      <w:szCs w:val="32"/>
      <w:u w:color="000000"/>
      <w:bdr w:val="nil"/>
      <w:lang w:eastAsia="de-DE"/>
    </w:rPr>
  </w:style>
  <w:style w:type="character" w:styleId="BesuchterHyperlink">
    <w:name w:val="FollowedHyperlink"/>
    <w:basedOn w:val="Absatz-Standardschriftart"/>
    <w:uiPriority w:val="99"/>
    <w:semiHidden/>
    <w:unhideWhenUsed/>
    <w:rsid w:val="00993FFF"/>
    <w:rPr>
      <w:color w:val="800080" w:themeColor="followedHyperlink"/>
      <w:u w:val="single"/>
    </w:rPr>
  </w:style>
  <w:style w:type="character" w:styleId="IntensiveHervorhebung">
    <w:name w:val="Intense Emphasis"/>
    <w:basedOn w:val="Absatz-Standardschriftart"/>
    <w:uiPriority w:val="21"/>
    <w:qFormat/>
    <w:rsid w:val="00AC7A92"/>
    <w:rPr>
      <w:b/>
      <w:bCs/>
      <w:i/>
      <w:iCs/>
      <w:color w:val="4F81BD" w:themeColor="accent1"/>
    </w:rPr>
  </w:style>
  <w:style w:type="character" w:styleId="SchwacheHervorhebung">
    <w:name w:val="Subtle Emphasis"/>
    <w:basedOn w:val="Absatz-Standardschriftart"/>
    <w:uiPriority w:val="19"/>
    <w:qFormat/>
    <w:rsid w:val="00AC7A92"/>
    <w:rPr>
      <w:i/>
      <w:iCs/>
      <w:color w:val="808080" w:themeColor="text1" w:themeTint="7F"/>
    </w:rPr>
  </w:style>
  <w:style w:type="character" w:styleId="Kommentarzeichen">
    <w:name w:val="annotation reference"/>
    <w:basedOn w:val="Absatz-Standardschriftart"/>
    <w:uiPriority w:val="99"/>
    <w:semiHidden/>
    <w:unhideWhenUsed/>
    <w:rsid w:val="00DF4C34"/>
    <w:rPr>
      <w:sz w:val="16"/>
      <w:szCs w:val="16"/>
    </w:rPr>
  </w:style>
  <w:style w:type="paragraph" w:styleId="Kommentartext">
    <w:name w:val="annotation text"/>
    <w:basedOn w:val="Standard"/>
    <w:link w:val="KommentartextZchn"/>
    <w:uiPriority w:val="99"/>
    <w:semiHidden/>
    <w:unhideWhenUsed/>
    <w:rsid w:val="00DF4C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C34"/>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DF4C34"/>
    <w:rPr>
      <w:b/>
      <w:bCs/>
    </w:rPr>
  </w:style>
  <w:style w:type="character" w:customStyle="1" w:styleId="KommentarthemaZchn">
    <w:name w:val="Kommentarthema Zchn"/>
    <w:basedOn w:val="KommentartextZchn"/>
    <w:link w:val="Kommentarthema"/>
    <w:uiPriority w:val="99"/>
    <w:semiHidden/>
    <w:rsid w:val="00DF4C34"/>
    <w:rPr>
      <w:rFonts w:ascii="Calibri" w:eastAsia="Calibri" w:hAnsi="Calibri" w:cs="Calibri"/>
      <w:b/>
      <w:bCs/>
      <w:color w:val="000000"/>
      <w:sz w:val="20"/>
      <w:szCs w:val="20"/>
      <w:u w:color="000000"/>
      <w:bdr w:val="nil"/>
      <w:lang w:eastAsia="de-DE"/>
    </w:rPr>
  </w:style>
  <w:style w:type="paragraph" w:styleId="Titel">
    <w:name w:val="Title"/>
    <w:basedOn w:val="Standard"/>
    <w:next w:val="Standard"/>
    <w:link w:val="TitelZchn"/>
    <w:uiPriority w:val="10"/>
    <w:qFormat/>
    <w:rsid w:val="00944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4444B"/>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062C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062C94"/>
    <w:rPr>
      <w:rFonts w:eastAsiaTheme="minorEastAsia"/>
      <w:color w:val="5A5A5A" w:themeColor="text1" w:themeTint="A5"/>
      <w:spacing w:val="15"/>
      <w:u w:color="000000"/>
      <w:bdr w:val="nil"/>
      <w:lang w:eastAsia="de-DE"/>
    </w:rPr>
  </w:style>
</w:styles>
</file>

<file path=word/webSettings.xml><?xml version="1.0" encoding="utf-8"?>
<w:webSettings xmlns:r="http://schemas.openxmlformats.org/officeDocument/2006/relationships" xmlns:w="http://schemas.openxmlformats.org/wordprocessingml/2006/main">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e-bonn.de/esprid/dokumente/doc-2003/faulstich03_0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E16C-EA0D-4307-B0AA-BED1E0E6E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9E579A-58F6-40DE-ADA8-D0D3B768D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086B9-CDF2-49A1-96B3-E22259297059}">
  <ds:schemaRefs>
    <ds:schemaRef ds:uri="http://schemas.microsoft.com/sharepoint/v3/contenttype/forms"/>
  </ds:schemaRefs>
</ds:datastoreItem>
</file>

<file path=customXml/itemProps4.xml><?xml version="1.0" encoding="utf-8"?>
<ds:datastoreItem xmlns:ds="http://schemas.openxmlformats.org/officeDocument/2006/customXml" ds:itemID="{1793354C-F1D3-4A1D-BA54-61F7C5FE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Guido</cp:lastModifiedBy>
  <cp:revision>5</cp:revision>
  <cp:lastPrinted>2016-05-19T11:57:00Z</cp:lastPrinted>
  <dcterms:created xsi:type="dcterms:W3CDTF">2016-05-06T09:50:00Z</dcterms:created>
  <dcterms:modified xsi:type="dcterms:W3CDTF">2016-05-19T12:00:00Z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