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5D" w:rsidRDefault="00AB6E5D" w:rsidP="00AB6E5D">
      <w:pPr>
        <w:pStyle w:val="Materialtyp1"/>
      </w:pPr>
      <w:r>
        <w:t>Handlungsanleitung</w:t>
      </w:r>
    </w:p>
    <w:p w:rsidR="00AB6E5D" w:rsidRDefault="00AB6E5D" w:rsidP="00AB6E5D">
      <w:pPr>
        <w:pStyle w:val="Headline"/>
        <w:rPr>
          <w:rFonts w:ascii="Times New Roman" w:hAnsi="Times New Roman" w:cs="Times New Roman"/>
          <w:color w:val="auto"/>
        </w:rPr>
      </w:pPr>
      <w:r>
        <w:t>Gruppenpuzzle</w:t>
      </w:r>
      <w:r w:rsidR="00DB7D40">
        <w:t xml:space="preserve"> für nachhaltiges Lernen</w:t>
      </w:r>
      <w:r>
        <w:t xml:space="preserve"> </w:t>
      </w:r>
    </w:p>
    <w:p w:rsidR="00AB6E5D" w:rsidRDefault="00AB6E5D" w:rsidP="00AB6E5D">
      <w:pPr>
        <w:pStyle w:val="Flietext"/>
        <w:rPr>
          <w:b/>
        </w:rPr>
      </w:pPr>
      <w:r w:rsidRPr="00346046">
        <w:rPr>
          <w:b/>
        </w:rPr>
        <w:t xml:space="preserve">Das Gruppenpuzzle ist die älteste bekannte Methode, die nach </w:t>
      </w:r>
      <w:r w:rsidR="008525F0">
        <w:rPr>
          <w:b/>
        </w:rPr>
        <w:t xml:space="preserve">dem WELL-Prinzip Expertenphase </w:t>
      </w:r>
      <w:r w:rsidR="008525F0" w:rsidRPr="008525F0">
        <w:rPr>
          <w:rStyle w:val="st"/>
          <w:b/>
        </w:rPr>
        <w:t>–</w:t>
      </w:r>
      <w:r w:rsidR="008525F0">
        <w:rPr>
          <w:b/>
        </w:rPr>
        <w:t xml:space="preserve"> Austauschphase </w:t>
      </w:r>
      <w:r w:rsidR="008525F0" w:rsidRPr="008525F0">
        <w:rPr>
          <w:rStyle w:val="st"/>
          <w:b/>
        </w:rPr>
        <w:t>–</w:t>
      </w:r>
      <w:r w:rsidR="008525F0">
        <w:rPr>
          <w:b/>
        </w:rPr>
        <w:t xml:space="preserve"> Vertiefungsphase funktioniert</w:t>
      </w:r>
      <w:r w:rsidRPr="00346046">
        <w:rPr>
          <w:b/>
        </w:rPr>
        <w:t xml:space="preserve">. Die Gruppenzusammensetzung verläuft dabei von der Expertengruppe über die Puzzlegruppe </w:t>
      </w:r>
      <w:r w:rsidR="008525F0">
        <w:rPr>
          <w:b/>
        </w:rPr>
        <w:t xml:space="preserve">bis </w:t>
      </w:r>
      <w:r w:rsidRPr="00346046">
        <w:rPr>
          <w:b/>
        </w:rPr>
        <w:t>zur Vertiefungsgruppe.</w:t>
      </w:r>
    </w:p>
    <w:p w:rsidR="00C44025" w:rsidRPr="008525F0" w:rsidRDefault="00C44025" w:rsidP="00C44025">
      <w:pPr>
        <w:pStyle w:val="Flietext"/>
        <w:spacing w:after="0" w:line="240" w:lineRule="auto"/>
        <w:rPr>
          <w:b/>
        </w:rPr>
      </w:pPr>
    </w:p>
    <w:p w:rsidR="00012B2E" w:rsidRPr="00012B2E" w:rsidRDefault="00012B2E" w:rsidP="008525F0">
      <w:pPr>
        <w:pStyle w:val="Fli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  <w:i/>
        </w:rPr>
      </w:pPr>
      <w:r w:rsidRPr="00012B2E">
        <w:rPr>
          <w:b/>
          <w:i/>
        </w:rPr>
        <w:t>Jeder ist Experte …</w:t>
      </w:r>
    </w:p>
    <w:p w:rsidR="00AB6E5D" w:rsidRPr="00012B2E" w:rsidRDefault="00346046" w:rsidP="008525F0">
      <w:pPr>
        <w:pStyle w:val="Fli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i/>
        </w:rPr>
      </w:pPr>
      <w:r w:rsidRPr="00012B2E">
        <w:rPr>
          <w:i/>
        </w:rPr>
        <w:t>„</w:t>
      </w:r>
      <w:r w:rsidR="00AB6E5D" w:rsidRPr="00012B2E">
        <w:rPr>
          <w:i/>
        </w:rPr>
        <w:t>Für das Gelingen des Gesamtprozesses sind alle Teilnehmenden gleich verantwortlich. In den Puzzlegruppen ist jeder als Experte für seinen Teil zuständig. Durch die aktive Wiede</w:t>
      </w:r>
      <w:bookmarkStart w:id="0" w:name="_GoBack"/>
      <w:bookmarkEnd w:id="0"/>
      <w:r w:rsidR="00AB6E5D" w:rsidRPr="00012B2E">
        <w:rPr>
          <w:i/>
        </w:rPr>
        <w:t>rgabe des angeeigneten Wissens wird dieses besser verarbeitet.</w:t>
      </w:r>
      <w:r w:rsidRPr="00012B2E">
        <w:rPr>
          <w:i/>
        </w:rPr>
        <w:t xml:space="preserve"> </w:t>
      </w:r>
      <w:r w:rsidR="00AB6E5D" w:rsidRPr="00012B2E">
        <w:rPr>
          <w:i/>
        </w:rPr>
        <w:t>Zudem erleben sich Lernende in dieser Verantwortung als wirksam, sind dadurch mehr motiviert und das führt zumeist</w:t>
      </w:r>
      <w:r w:rsidRPr="00012B2E">
        <w:rPr>
          <w:i/>
        </w:rPr>
        <w:t xml:space="preserve"> zu einem größeren Lernerfolg.“</w:t>
      </w:r>
    </w:p>
    <w:p w:rsidR="00346046" w:rsidRDefault="00AB6E5D" w:rsidP="008525F0">
      <w:pPr>
        <w:pStyle w:val="Quelle"/>
      </w:pPr>
      <w:r>
        <w:t xml:space="preserve">Wahl, D. (2006). </w:t>
      </w:r>
      <w:r w:rsidRPr="00F57A7C">
        <w:rPr>
          <w:i/>
        </w:rPr>
        <w:t>Lernumgebungen erfolgreich gestalten</w:t>
      </w:r>
      <w:r>
        <w:t xml:space="preserve"> (2. Aufl.)</w:t>
      </w:r>
      <w:r w:rsidR="001E7B4A">
        <w:t>.</w:t>
      </w:r>
      <w:r>
        <w:t xml:space="preserve"> Bad Heilbrunn: </w:t>
      </w:r>
      <w:proofErr w:type="spellStart"/>
      <w:r>
        <w:t>Klinkhardt</w:t>
      </w:r>
      <w:proofErr w:type="spellEnd"/>
      <w:r>
        <w:t>.</w:t>
      </w:r>
    </w:p>
    <w:p w:rsidR="008525F0" w:rsidRDefault="008525F0" w:rsidP="008525F0">
      <w:pPr>
        <w:pStyle w:val="Quelle"/>
        <w:spacing w:after="0"/>
      </w:pPr>
    </w:p>
    <w:p w:rsidR="00AB6E5D" w:rsidRDefault="00AB6E5D" w:rsidP="008525F0">
      <w:pPr>
        <w:pStyle w:val="Zwischenberschrift"/>
        <w:spacing w:after="0"/>
      </w:pPr>
      <w:r>
        <w:t>Ablauf</w:t>
      </w:r>
    </w:p>
    <w:p w:rsidR="008525F0" w:rsidRDefault="008525F0" w:rsidP="008525F0">
      <w:pPr>
        <w:pStyle w:val="Zwischenberschrift"/>
        <w:spacing w:before="0" w:after="0" w:line="240" w:lineRule="auto"/>
      </w:pPr>
    </w:p>
    <w:p w:rsidR="00AB6E5D" w:rsidRDefault="00AB6E5D" w:rsidP="00346046">
      <w:pPr>
        <w:pStyle w:val="Zwischenberschrift"/>
      </w:pPr>
      <w:r>
        <w:t>Vorbereitung</w:t>
      </w:r>
    </w:p>
    <w:p w:rsidR="00AB6E5D" w:rsidRDefault="00AB6E5D" w:rsidP="00AB6E5D">
      <w:pPr>
        <w:pStyle w:val="Flietext"/>
      </w:pPr>
      <w:r>
        <w:t xml:space="preserve">Die zu vermittelnden Lerninhalte werden in gleich große </w:t>
      </w:r>
      <w:r w:rsidR="000547B6">
        <w:t xml:space="preserve">Arbeitspakete </w:t>
      </w:r>
      <w:r>
        <w:t>aufgeteilt (3</w:t>
      </w:r>
      <w:r w:rsidR="001E7B4A">
        <w:t>–</w:t>
      </w:r>
      <w:r>
        <w:t>5). Für alle Phasen werden Texte (pro Teilbereich eine eigene Farbe), Aufgabenstellungen etc. vorbereitet.</w:t>
      </w:r>
    </w:p>
    <w:p w:rsidR="008525F0" w:rsidRDefault="008525F0" w:rsidP="008525F0">
      <w:pPr>
        <w:pStyle w:val="Flietext"/>
        <w:spacing w:after="0" w:line="240" w:lineRule="auto"/>
      </w:pPr>
    </w:p>
    <w:p w:rsidR="00AB6E5D" w:rsidRDefault="00236AB9" w:rsidP="00A11836">
      <w:pPr>
        <w:pStyle w:val="Zwischenberschri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450A2" wp14:editId="46864A64">
            <wp:simplePos x="0" y="0"/>
            <wp:positionH relativeFrom="column">
              <wp:posOffset>4450080</wp:posOffset>
            </wp:positionH>
            <wp:positionV relativeFrom="paragraph">
              <wp:posOffset>34925</wp:posOffset>
            </wp:positionV>
            <wp:extent cx="1040130" cy="1066800"/>
            <wp:effectExtent l="0" t="0" r="7620" b="0"/>
            <wp:wrapSquare wrapText="bothSides"/>
            <wp:docPr id="6" name="Grafik 6" descr="http://www.arbowis.ch/images/illustrationen/didaktische/Puzzle_r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bowis.ch/images/illustrationen/didaktische/Puzzle_ro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E5D">
        <w:t>Aneignungsphase: Expertengruppen</w:t>
      </w:r>
    </w:p>
    <w:p w:rsidR="00AB6E5D" w:rsidRDefault="00AB6E5D" w:rsidP="00AB6E5D">
      <w:pPr>
        <w:pStyle w:val="Flietext"/>
      </w:pPr>
      <w:r>
        <w:t>Zu Beginn arbeiten die Gruppen in Expertengruppen, d.h. sie machen sich innerhalb ihrer Teilaufgabe zu Experten (z.B. durch Textarbeit...). </w:t>
      </w:r>
    </w:p>
    <w:p w:rsidR="00AB6E5D" w:rsidRDefault="00AB6E5D" w:rsidP="00AB6E5D">
      <w:pPr>
        <w:pStyle w:val="Flietext"/>
      </w:pPr>
    </w:p>
    <w:p w:rsidR="00A11836" w:rsidRDefault="00A11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4"/>
        </w:rPr>
      </w:pPr>
      <w:r>
        <w:br w:type="page"/>
      </w:r>
    </w:p>
    <w:p w:rsidR="00AB6E5D" w:rsidRDefault="00236AB9" w:rsidP="00A11836">
      <w:pPr>
        <w:pStyle w:val="Zwischenberschri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134EBB7" wp14:editId="1643ACAA">
            <wp:simplePos x="0" y="0"/>
            <wp:positionH relativeFrom="column">
              <wp:posOffset>4691380</wp:posOffset>
            </wp:positionH>
            <wp:positionV relativeFrom="paragraph">
              <wp:posOffset>36830</wp:posOffset>
            </wp:positionV>
            <wp:extent cx="859155" cy="1145540"/>
            <wp:effectExtent l="0" t="0" r="0" b="0"/>
            <wp:wrapSquare wrapText="bothSides"/>
            <wp:docPr id="5" name="Grafik 5" descr="http://www.arbowis.ch/images/illustrationen/didaktische/Puzzle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bowis.ch/images/illustrationen/didaktische/Puzzle_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E5D">
        <w:t>Vermittlungsphase: Puzzlegruppen</w:t>
      </w:r>
    </w:p>
    <w:p w:rsidR="00AB6E5D" w:rsidRDefault="00AB6E5D" w:rsidP="00AB6E5D">
      <w:pPr>
        <w:pStyle w:val="Flietext"/>
      </w:pPr>
      <w:r>
        <w:t>Der Austausch der erarbeiteten Informationen erfolgt in Puzzlegruppen. Jede Puzzlegruppe setzt sich aus je einem Vertreter der Expertengruppen zusammen.</w:t>
      </w:r>
    </w:p>
    <w:p w:rsidR="00A11836" w:rsidRDefault="00A11836" w:rsidP="008525F0">
      <w:pPr>
        <w:pStyle w:val="Zwischenberschrift"/>
        <w:spacing w:after="0" w:line="240" w:lineRule="auto"/>
      </w:pPr>
    </w:p>
    <w:p w:rsidR="00AB6E5D" w:rsidRDefault="00AB6E5D" w:rsidP="00A11836">
      <w:pPr>
        <w:pStyle w:val="Zwischenberschrift"/>
      </w:pPr>
      <w:r>
        <w:t>Vertiefungsphase</w:t>
      </w:r>
    </w:p>
    <w:p w:rsidR="00AB6E5D" w:rsidRDefault="00AB6E5D" w:rsidP="00AB6E5D">
      <w:pPr>
        <w:pStyle w:val="Flietext"/>
      </w:pPr>
      <w:r>
        <w:t>Wiederholende und vertiefende Aufgaben zu den Teilbereichen aller Expertengruppen werden bearbeitet.</w:t>
      </w:r>
    </w:p>
    <w:p w:rsidR="00A11836" w:rsidRDefault="00A11836" w:rsidP="008525F0">
      <w:pPr>
        <w:pStyle w:val="Zwischenberschrift"/>
        <w:spacing w:after="0" w:line="240" w:lineRule="auto"/>
      </w:pPr>
    </w:p>
    <w:p w:rsidR="00AB6E5D" w:rsidRDefault="00AB6E5D" w:rsidP="00A11836">
      <w:pPr>
        <w:pStyle w:val="Zwischenberschrift"/>
      </w:pPr>
      <w:r>
        <w:t>Hinweise</w:t>
      </w:r>
    </w:p>
    <w:p w:rsidR="00AB6E5D" w:rsidRDefault="00AB6E5D" w:rsidP="002538C2">
      <w:pPr>
        <w:pStyle w:val="AufzhlungPunkte"/>
      </w:pPr>
      <w:r>
        <w:t>Wenn jede Expertengruppe Material in einer anderen Farbe erhält, können die Puzzlegruppen effizient zusammengestellt werden.</w:t>
      </w:r>
    </w:p>
    <w:p w:rsidR="00AB6E5D" w:rsidRDefault="00AB6E5D" w:rsidP="002538C2">
      <w:pPr>
        <w:pStyle w:val="AufzhlungPunkte"/>
      </w:pPr>
      <w:r>
        <w:t>Es ist auch möglich, die Gruppeneinteilung mit vorbereiteten Kärtchen zu machen, die zufällig gezogen oder mit Bedacht verteilt werden. So</w:t>
      </w:r>
      <w:r w:rsidR="008525F0">
        <w:t xml:space="preserve"> </w:t>
      </w:r>
      <w:r>
        <w:t xml:space="preserve">viele </w:t>
      </w:r>
      <w:proofErr w:type="spellStart"/>
      <w:r>
        <w:t>Kärtchenfarben</w:t>
      </w:r>
      <w:proofErr w:type="spellEnd"/>
      <w:r>
        <w:t xml:space="preserve"> wie es Teilbereiche gibt (Bsp. 5). Pro Farbe werden je einmal der Buchstabe A, B und C auf die Kärtchen geschrieben (</w:t>
      </w:r>
      <w:r w:rsidR="001E7B4A">
        <w:t>i</w:t>
      </w:r>
      <w:r w:rsidR="008525F0">
        <w:t>nsgesamt</w:t>
      </w:r>
      <w:r>
        <w:t xml:space="preserve"> 15 TN)</w:t>
      </w:r>
      <w:proofErr w:type="gramStart"/>
      <w:r>
        <w:t xml:space="preserve">.  </w:t>
      </w:r>
      <w:proofErr w:type="gramEnd"/>
      <w:r>
        <w:t>In den Expertengruppen finden sich dann diejenigen mit der gleichen Farbe, in den Puzzlegruppen diejenigen mit dem gleichen Buchstaben.</w:t>
      </w:r>
    </w:p>
    <w:p w:rsidR="00AB6E5D" w:rsidRDefault="008525F0" w:rsidP="002538C2">
      <w:pPr>
        <w:pStyle w:val="AufzhlungPunkte"/>
      </w:pPr>
      <w:r>
        <w:t>Bilden Sie bei</w:t>
      </w:r>
      <w:r w:rsidR="00AB6E5D">
        <w:t xml:space="preserve"> sehr unterschiedlich leistungsfähigen Lernenden pro Themenbereich zwei Expertengruppen, damit zwei Experten zum selben Thema in der Puzzlegruppe sind.</w:t>
      </w:r>
    </w:p>
    <w:p w:rsidR="00AB6E5D" w:rsidRDefault="008525F0" w:rsidP="002538C2">
      <w:pPr>
        <w:pStyle w:val="AufzhlungPunkte"/>
      </w:pPr>
      <w:r>
        <w:t>Behalten Sie b</w:t>
      </w:r>
      <w:r w:rsidR="00AB6E5D">
        <w:t xml:space="preserve">ei unselbstständigeren Lernenden den Übergang von der Experten- in die Puzzlegruppe gut im Auge. </w:t>
      </w:r>
      <w:r>
        <w:t>Gestalten Sie die</w:t>
      </w:r>
      <w:r w:rsidR="00AB6E5D">
        <w:t xml:space="preserve"> Vertiefungsphase im Plenum.</w:t>
      </w:r>
    </w:p>
    <w:p w:rsidR="008525F0" w:rsidRDefault="008525F0" w:rsidP="002538C2">
      <w:pPr>
        <w:pStyle w:val="AufzhlungPunkte"/>
      </w:pPr>
      <w:r>
        <w:t>Legen Sie b</w:t>
      </w:r>
      <w:r w:rsidR="00AB6E5D">
        <w:t xml:space="preserve">ei lerngewohnten Lernenden </w:t>
      </w:r>
      <w:r>
        <w:t>lediglich</w:t>
      </w:r>
      <w:r w:rsidR="00AB6E5D">
        <w:t xml:space="preserve"> die Zeiten zum Wechsel </w:t>
      </w:r>
      <w:r>
        <w:t>fest</w:t>
      </w:r>
      <w:r w:rsidR="00AB6E5D">
        <w:t xml:space="preserve">. </w:t>
      </w:r>
      <w:r>
        <w:t>Lassen Sie f</w:t>
      </w:r>
      <w:r w:rsidR="00AB6E5D">
        <w:t>ür die Vertiefungsphase die Lernenden selber Paare oder Dreiergruppen bilden</w:t>
      </w:r>
      <w:r w:rsidR="001E7B4A">
        <w:t>.</w:t>
      </w:r>
    </w:p>
    <w:p w:rsidR="00AB6E5D" w:rsidRDefault="00AB6E5D" w:rsidP="008525F0">
      <w:pPr>
        <w:pStyle w:val="Flietext"/>
        <w:spacing w:after="0" w:line="240" w:lineRule="auto"/>
      </w:pPr>
    </w:p>
    <w:p w:rsidR="00346046" w:rsidRPr="00A3505A" w:rsidRDefault="00346046" w:rsidP="00346046">
      <w:pPr>
        <w:pStyle w:val="Quelle"/>
        <w:rPr>
          <w:sz w:val="18"/>
          <w:szCs w:val="18"/>
        </w:rPr>
      </w:pPr>
      <w:r>
        <w:rPr>
          <w:sz w:val="18"/>
          <w:szCs w:val="18"/>
        </w:rPr>
        <w:t xml:space="preserve">Quelle: </w:t>
      </w:r>
      <w:proofErr w:type="spellStart"/>
      <w:r>
        <w:rPr>
          <w:sz w:val="18"/>
          <w:szCs w:val="18"/>
        </w:rPr>
        <w:t>arbowis</w:t>
      </w:r>
      <w:proofErr w:type="spellEnd"/>
      <w:r>
        <w:rPr>
          <w:sz w:val="18"/>
          <w:szCs w:val="18"/>
        </w:rPr>
        <w:t xml:space="preserve"> (2015). </w:t>
      </w:r>
      <w:r>
        <w:rPr>
          <w:i/>
          <w:sz w:val="18"/>
          <w:szCs w:val="18"/>
        </w:rPr>
        <w:t>Gruppenpuzzle.</w:t>
      </w:r>
      <w:r>
        <w:rPr>
          <w:sz w:val="18"/>
          <w:szCs w:val="18"/>
        </w:rPr>
        <w:t xml:space="preserve"> Abgerufen von </w:t>
      </w:r>
      <w:hyperlink r:id="rId10" w:history="1">
        <w:r w:rsidRPr="00A34B08">
          <w:rPr>
            <w:rStyle w:val="Hyperlink"/>
            <w:sz w:val="18"/>
            <w:szCs w:val="18"/>
          </w:rPr>
          <w:t>www.arbowis.ch/index.php/100-2014/erwachsenenbildung/unterrichtsmethoden/kompetenzfoerdernde-methoden/306-gruppenpuzzle</w:t>
        </w:r>
      </w:hyperlink>
      <w:r>
        <w:rPr>
          <w:sz w:val="18"/>
          <w:szCs w:val="18"/>
        </w:rPr>
        <w:t xml:space="preserve"> </w:t>
      </w:r>
      <w:hyperlink r:id="rId11" w:history="1">
        <w:r w:rsidRPr="00346046">
          <w:rPr>
            <w:rStyle w:val="Hyperlink"/>
            <w:sz w:val="18"/>
            <w:szCs w:val="18"/>
          </w:rPr>
          <w:t>(CC BY-NC-SA 4.0)</w:t>
        </w:r>
      </w:hyperlink>
    </w:p>
    <w:p w:rsidR="000A44F1" w:rsidRPr="006027BA" w:rsidRDefault="000A44F1" w:rsidP="00AB6E5D">
      <w:pPr>
        <w:pStyle w:val="Flietext"/>
      </w:pPr>
    </w:p>
    <w:sectPr w:rsidR="000A44F1" w:rsidRPr="006027BA" w:rsidSect="00FD3A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B6" w:rsidRDefault="000547B6" w:rsidP="00014AE4">
      <w:pPr>
        <w:spacing w:after="0" w:line="240" w:lineRule="auto"/>
      </w:pPr>
      <w:r>
        <w:separator/>
      </w:r>
    </w:p>
  </w:endnote>
  <w:endnote w:type="continuationSeparator" w:id="0">
    <w:p w:rsidR="000547B6" w:rsidRDefault="000547B6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Corbe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B6" w:rsidRDefault="000547B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B6" w:rsidRDefault="000547B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47B6" w:rsidRDefault="000547B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0547B6" w:rsidRDefault="000547B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0547B6" w:rsidRPr="00DB4FF9" w:rsidRDefault="000547B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Pr="00BB63E1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B6" w:rsidRDefault="000547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B6" w:rsidRDefault="000547B6" w:rsidP="00014AE4">
      <w:pPr>
        <w:spacing w:after="0" w:line="240" w:lineRule="auto"/>
      </w:pPr>
      <w:r>
        <w:separator/>
      </w:r>
    </w:p>
  </w:footnote>
  <w:footnote w:type="continuationSeparator" w:id="0">
    <w:p w:rsidR="000547B6" w:rsidRDefault="000547B6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B6" w:rsidRDefault="000547B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B6" w:rsidRDefault="000547B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47B6" w:rsidRPr="00AC2223" w:rsidRDefault="000547B6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BB63E1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  <w:r w:rsidRPr="00BB63E1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0547B6" w:rsidRPr="00AC2223" w:rsidRDefault="000547B6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Pr="00BB63E1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wb-web.de</w:t>
                      </w:r>
                    </w:hyperlink>
                    <w:r w:rsidRPr="00BB63E1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B6" w:rsidRDefault="000547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832AB"/>
    <w:multiLevelType w:val="multilevel"/>
    <w:tmpl w:val="056E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E7322"/>
    <w:multiLevelType w:val="multilevel"/>
    <w:tmpl w:val="5D5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2B2E"/>
    <w:rsid w:val="00014AE4"/>
    <w:rsid w:val="000547B6"/>
    <w:rsid w:val="000A44F1"/>
    <w:rsid w:val="000C6BAB"/>
    <w:rsid w:val="000E4BEB"/>
    <w:rsid w:val="000E5A0E"/>
    <w:rsid w:val="0017476E"/>
    <w:rsid w:val="001E7B4A"/>
    <w:rsid w:val="00206FAA"/>
    <w:rsid w:val="0022296F"/>
    <w:rsid w:val="00236AB9"/>
    <w:rsid w:val="002538C2"/>
    <w:rsid w:val="00316790"/>
    <w:rsid w:val="00333725"/>
    <w:rsid w:val="00346046"/>
    <w:rsid w:val="0048036C"/>
    <w:rsid w:val="004A33CC"/>
    <w:rsid w:val="00506977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7A30A2"/>
    <w:rsid w:val="0080027A"/>
    <w:rsid w:val="008525F0"/>
    <w:rsid w:val="00862F3E"/>
    <w:rsid w:val="008C1D48"/>
    <w:rsid w:val="00913C77"/>
    <w:rsid w:val="0095483E"/>
    <w:rsid w:val="00A11836"/>
    <w:rsid w:val="00A651A5"/>
    <w:rsid w:val="00A7652F"/>
    <w:rsid w:val="00AB6E5D"/>
    <w:rsid w:val="00AC2223"/>
    <w:rsid w:val="00B01655"/>
    <w:rsid w:val="00B11ED0"/>
    <w:rsid w:val="00B27E74"/>
    <w:rsid w:val="00B70DAA"/>
    <w:rsid w:val="00BB63E1"/>
    <w:rsid w:val="00BC2391"/>
    <w:rsid w:val="00C07190"/>
    <w:rsid w:val="00C3075E"/>
    <w:rsid w:val="00C44025"/>
    <w:rsid w:val="00C675B9"/>
    <w:rsid w:val="00C93D17"/>
    <w:rsid w:val="00D17A67"/>
    <w:rsid w:val="00DB4FF9"/>
    <w:rsid w:val="00DB7D40"/>
    <w:rsid w:val="00E056E0"/>
    <w:rsid w:val="00E53294"/>
    <w:rsid w:val="00E5546C"/>
    <w:rsid w:val="00E678F7"/>
    <w:rsid w:val="00E84DD0"/>
    <w:rsid w:val="00ED0DBD"/>
    <w:rsid w:val="00ED65AA"/>
    <w:rsid w:val="00F57A7C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6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6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B6E5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6E5D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AB6E5D"/>
    <w:rPr>
      <w:color w:val="0000FF"/>
      <w:u w:val="single"/>
    </w:rPr>
  </w:style>
  <w:style w:type="paragraph" w:customStyle="1" w:styleId="einleitung">
    <w:name w:val="einleitung"/>
    <w:basedOn w:val="Standard"/>
    <w:rsid w:val="00AB6E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quellen-angabe">
    <w:name w:val="quellen-angabe"/>
    <w:basedOn w:val="Standard"/>
    <w:rsid w:val="00AB6E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std-text">
    <w:name w:val="std-text"/>
    <w:basedOn w:val="Standard"/>
    <w:rsid w:val="00AB6E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StandardWeb">
    <w:name w:val="Normal (Web)"/>
    <w:basedOn w:val="Standard"/>
    <w:uiPriority w:val="99"/>
    <w:semiHidden/>
    <w:unhideWhenUsed/>
    <w:rsid w:val="00AB6E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st">
    <w:name w:val="st"/>
    <w:basedOn w:val="Absatz-Standardschriftart"/>
    <w:rsid w:val="0085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70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4.0/deed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rbowis.ch/index.php/100-2014/erwachsenenbildung/unterrichtsmethoden/kompetenzfoerdernde-methoden/306-gruppenpuzz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DD5C-E489-4351-BD9F-B5E564A3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FF41CEAD.dotm</Template>
  <TotalTime>0</TotalTime>
  <Pages>3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Quilling, Kathrin</cp:lastModifiedBy>
  <cp:revision>6</cp:revision>
  <cp:lastPrinted>2015-10-16T10:30:00Z</cp:lastPrinted>
  <dcterms:created xsi:type="dcterms:W3CDTF">2015-10-27T07:58:00Z</dcterms:created>
  <dcterms:modified xsi:type="dcterms:W3CDTF">2015-12-11T10:49:00Z</dcterms:modified>
</cp:coreProperties>
</file>