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9B3F" w14:textId="3FB46609" w:rsidR="0039055D" w:rsidRPr="00876A66" w:rsidRDefault="0039055D" w:rsidP="0039055D">
      <w:pPr>
        <w:rPr>
          <w:rFonts w:cstheme="minorHAnsi"/>
          <w:b/>
        </w:rPr>
      </w:pPr>
      <w:r w:rsidRPr="00876A66">
        <w:rPr>
          <w:rFonts w:cstheme="minorHAnsi"/>
          <w:b/>
        </w:rPr>
        <w:t>„Ohne Rechnen kommt man im Leben nicht weiter“</w:t>
      </w:r>
      <w:r>
        <w:rPr>
          <w:rFonts w:cstheme="minorHAnsi"/>
          <w:b/>
        </w:rPr>
        <w:t xml:space="preserve">: </w:t>
      </w:r>
      <w:r>
        <w:rPr>
          <w:b/>
        </w:rPr>
        <w:t>Numeralität als soziale Praxis aus der biographischen Perspektive älterer Menschen</w:t>
      </w:r>
    </w:p>
    <w:p w14:paraId="59A7FF17" w14:textId="020807E0" w:rsidR="0039055D" w:rsidRDefault="0039055D">
      <w:pPr>
        <w:rPr>
          <w:rFonts w:cstheme="minorHAnsi"/>
          <w:color w:val="374151"/>
          <w:shd w:val="clear" w:color="auto" w:fill="F7F7F8"/>
        </w:rPr>
      </w:pPr>
    </w:p>
    <w:p w14:paraId="730ACD21" w14:textId="17CE73B3" w:rsidR="0039055D" w:rsidRDefault="00343CB5" w:rsidP="00343CB5">
      <w:r>
        <w:rPr>
          <w:noProof/>
        </w:rPr>
        <w:drawing>
          <wp:anchor distT="0" distB="0" distL="114300" distR="114300" simplePos="0" relativeHeight="251658240" behindDoc="0" locked="0" layoutInCell="1" allowOverlap="1" wp14:anchorId="6F7F1DDC" wp14:editId="0DCC1D24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1028700" cy="1448057"/>
            <wp:effectExtent l="0" t="0" r="0" b="0"/>
            <wp:wrapSquare wrapText="bothSides"/>
            <wp:docPr id="1" name="Grafik 1" descr="Ohne Rechnen kommt man im Leben nicht we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hne Rechnen kommt man im Leben nicht wei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4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Del="00343CB5">
        <w:t xml:space="preserve"> </w:t>
      </w:r>
      <w:r w:rsidR="00366145" w:rsidRPr="0039055D">
        <w:t>Die</w:t>
      </w:r>
      <w:r w:rsidR="00366145">
        <w:t xml:space="preserve"> hier präsentierte </w:t>
      </w:r>
      <w:r w:rsidR="00366145" w:rsidRPr="0039055D">
        <w:t xml:space="preserve">Studie ist eine der ersten in Deutschland, die sich auf den Ansatz </w:t>
      </w:r>
      <w:r w:rsidR="00366145">
        <w:t xml:space="preserve">von </w:t>
      </w:r>
      <w:r w:rsidR="00366145" w:rsidRPr="006D2E9F">
        <w:rPr>
          <w:i/>
        </w:rPr>
        <w:t>Numeralität als soziale Praxis</w:t>
      </w:r>
      <w:r w:rsidR="00366145" w:rsidRPr="0039055D">
        <w:t xml:space="preserve"> bezieht</w:t>
      </w:r>
      <w:r w:rsidR="00366145">
        <w:t>. Sie</w:t>
      </w:r>
      <w:r w:rsidR="00366145" w:rsidRPr="0039055D">
        <w:t xml:space="preserve"> bietet neue Einsichten in die Art und Weise, wie Menschen im Alltag mit Zahlen umgehen und wie sich mathematische Fertigkeiten im Laufe des Lebens verändern.</w:t>
      </w:r>
      <w:r w:rsidR="00366145">
        <w:t xml:space="preserve"> </w:t>
      </w:r>
      <w:r w:rsidR="0039055D" w:rsidRPr="0039055D">
        <w:t>Ziel</w:t>
      </w:r>
      <w:r w:rsidR="00366145">
        <w:t xml:space="preserve"> </w:t>
      </w:r>
      <w:r w:rsidR="006377C3">
        <w:t>ist</w:t>
      </w:r>
      <w:r w:rsidR="00366145">
        <w:t xml:space="preserve"> es</w:t>
      </w:r>
      <w:r w:rsidR="0039055D" w:rsidRPr="0039055D">
        <w:t xml:space="preserve">, den subjektiven Umgang mit Numeralität und </w:t>
      </w:r>
      <w:r w:rsidR="0039055D">
        <w:t>m</w:t>
      </w:r>
      <w:r w:rsidR="0039055D" w:rsidRPr="0039055D">
        <w:t xml:space="preserve">athematischem Wissen bei älteren Menschen aus einer biographischen Perspektive zu untersuchen. </w:t>
      </w:r>
      <w:r w:rsidR="00D10F13">
        <w:t xml:space="preserve">Mittels </w:t>
      </w:r>
      <w:r w:rsidR="0039055D" w:rsidRPr="0039055D">
        <w:t>eines qualitativ</w:t>
      </w:r>
      <w:r w:rsidR="00D10F13">
        <w:t>-explorativen</w:t>
      </w:r>
      <w:r w:rsidR="0039055D" w:rsidRPr="0039055D">
        <w:t xml:space="preserve"> </w:t>
      </w:r>
      <w:r w:rsidR="00D10F13">
        <w:t>Forschungsz</w:t>
      </w:r>
      <w:r w:rsidR="0039055D" w:rsidRPr="0039055D">
        <w:t xml:space="preserve">ugangs </w:t>
      </w:r>
      <w:r w:rsidR="00D10F13">
        <w:t>werden in</w:t>
      </w:r>
      <w:r w:rsidR="0039055D" w:rsidRPr="0039055D">
        <w:t xml:space="preserve"> biographisch orientierten Interviews individuelle Erfahrungen, Bedeutungszuschreibungen, Positionierungen und Handlungsstrategien im Umgang mit </w:t>
      </w:r>
      <w:r w:rsidR="0039055D">
        <w:t>m</w:t>
      </w:r>
      <w:r w:rsidR="0039055D" w:rsidRPr="0039055D">
        <w:t xml:space="preserve">athematischem Wissen erfasst. </w:t>
      </w:r>
    </w:p>
    <w:p w14:paraId="5B199FF5" w14:textId="77777777" w:rsidR="0039055D" w:rsidRDefault="0039055D"/>
    <w:p w14:paraId="4C584A98" w14:textId="40AE9E85" w:rsidR="0039055D" w:rsidRDefault="0039055D">
      <w:r w:rsidRPr="0039055D">
        <w:t>Die Ergebnisse zeigen</w:t>
      </w:r>
      <w:r w:rsidR="00366145">
        <w:t xml:space="preserve"> nicht nur</w:t>
      </w:r>
      <w:r w:rsidRPr="0039055D">
        <w:t xml:space="preserve">, dass numerale/mathematische Kenntnisse und Fertigkeiten von hoher </w:t>
      </w:r>
      <w:r w:rsidR="00D10F13" w:rsidRPr="0039055D">
        <w:t>Relevanz</w:t>
      </w:r>
      <w:r w:rsidR="00D10F13">
        <w:t xml:space="preserve"> sind </w:t>
      </w:r>
      <w:r w:rsidRPr="0039055D">
        <w:t xml:space="preserve">für die aktive Teilhabe und Teilnahme der Menschen am gesellschaftlichen, sozialen, politischen und wirtschaftlichen Leben, während geringe numerale/mathematische Kenntnisse und Fertigkeiten exkludierend wirken können. </w:t>
      </w:r>
      <w:r w:rsidR="00366145">
        <w:t xml:space="preserve">Es wird zudem mithilfe des Ansatzes </w:t>
      </w:r>
      <w:r w:rsidRPr="006D2E9F">
        <w:rPr>
          <w:i/>
        </w:rPr>
        <w:t>Numeralität als soziale Praxis</w:t>
      </w:r>
      <w:r w:rsidR="00366145">
        <w:t xml:space="preserve"> deutlich</w:t>
      </w:r>
      <w:r w:rsidRPr="0039055D">
        <w:t xml:space="preserve">, dass </w:t>
      </w:r>
      <w:r w:rsidR="00366145">
        <w:t xml:space="preserve">Mathematik </w:t>
      </w:r>
      <w:r w:rsidRPr="0039055D">
        <w:t xml:space="preserve">nicht nur </w:t>
      </w:r>
      <w:r w:rsidR="00366145">
        <w:t xml:space="preserve">als neutrale Kulturtechnik </w:t>
      </w:r>
      <w:r w:rsidR="00FD7019" w:rsidRPr="0039055D">
        <w:t>betrachtet werden</w:t>
      </w:r>
      <w:r w:rsidR="006D2E9F">
        <w:t xml:space="preserve"> darf</w:t>
      </w:r>
      <w:r w:rsidR="00FD7019">
        <w:t xml:space="preserve">, sondern dass </w:t>
      </w:r>
      <w:r w:rsidR="00366145">
        <w:t>m</w:t>
      </w:r>
      <w:r w:rsidR="00366145" w:rsidRPr="0039055D">
        <w:t xml:space="preserve">athematisches Wissen und Fähigkeiten </w:t>
      </w:r>
      <w:r w:rsidR="00366145">
        <w:t>individuell unterschiedlich</w:t>
      </w:r>
      <w:r w:rsidR="00FD7019">
        <w:t xml:space="preserve"> genutzt un</w:t>
      </w:r>
      <w:r w:rsidR="00525D93">
        <w:t>d</w:t>
      </w:r>
      <w:r w:rsidR="00FD7019">
        <w:t xml:space="preserve"> angewandt </w:t>
      </w:r>
      <w:r w:rsidR="00076E34">
        <w:t>werden</w:t>
      </w:r>
      <w:r w:rsidR="00FD7019">
        <w:t xml:space="preserve">. </w:t>
      </w:r>
      <w:r w:rsidR="004069F4">
        <w:t xml:space="preserve">Der Ansatz </w:t>
      </w:r>
      <w:r w:rsidR="004069F4" w:rsidRPr="006D2E9F">
        <w:rPr>
          <w:i/>
        </w:rPr>
        <w:t>Numeralität als soziale Praxis</w:t>
      </w:r>
      <w:r w:rsidR="004069F4">
        <w:t xml:space="preserve"> betont</w:t>
      </w:r>
      <w:r w:rsidR="00F135A3">
        <w:t xml:space="preserve"> </w:t>
      </w:r>
      <w:r w:rsidR="004069F4">
        <w:t xml:space="preserve">vor allem den </w:t>
      </w:r>
      <w:r w:rsidRPr="0039055D">
        <w:t>kulturellen, historischen, politischen und subjektiven Kontext</w:t>
      </w:r>
      <w:r w:rsidR="004069F4">
        <w:t xml:space="preserve"> mathematischer Anwendungen</w:t>
      </w:r>
      <w:r w:rsidRPr="0039055D">
        <w:t xml:space="preserve">. </w:t>
      </w:r>
    </w:p>
    <w:p w14:paraId="6AF27863" w14:textId="77777777" w:rsidR="0039055D" w:rsidRPr="0039055D" w:rsidRDefault="0039055D"/>
    <w:p w14:paraId="017C455B" w14:textId="706A99BD" w:rsidR="00A043D7" w:rsidRDefault="0039055D">
      <w:r w:rsidRPr="0039055D">
        <w:t xml:space="preserve">Die Autorinnen präsentieren vor dem Hintergrund ihrer Befunde neue Ansatzpunkte zur Entwicklung teilnehmerorientierter Angebote in den Bereichen Alltagsmathematik/Rechnen und ökonomischer Grundbildung. </w:t>
      </w:r>
      <w:r w:rsidR="00BD79CF">
        <w:t xml:space="preserve">Vor allem </w:t>
      </w:r>
      <w:r w:rsidR="00B87A9B">
        <w:t>die Möglichkeit einer ressourcenorientierten Perspektive auf alltags- und lebensweltliche numerale Praktiken der Teilnehmenden von Grundbildungskursen</w:t>
      </w:r>
      <w:r w:rsidR="00BD79CF">
        <w:t xml:space="preserve"> wäre hier zu erwähnen</w:t>
      </w:r>
      <w:r w:rsidR="00B87A9B">
        <w:t>. Die Reflexion vorhandene</w:t>
      </w:r>
      <w:r w:rsidR="00BD79CF">
        <w:t>r</w:t>
      </w:r>
      <w:r w:rsidR="00B87A9B">
        <w:t>, oft nicht bewusst wahrgenommene</w:t>
      </w:r>
      <w:r w:rsidR="00BD79CF">
        <w:t>r</w:t>
      </w:r>
      <w:r w:rsidR="00B87A9B">
        <w:t>, numerale</w:t>
      </w:r>
      <w:r w:rsidR="00BD79CF">
        <w:t xml:space="preserve">r </w:t>
      </w:r>
      <w:r w:rsidR="00B87A9B">
        <w:t>Praktiken</w:t>
      </w:r>
      <w:r w:rsidR="00BD79CF">
        <w:t xml:space="preserve"> ermöglicht selbstbestimmte und als selbstwirksam erlebbare (Weiter-)Entwicklungen numeraler Kompetenzen. Diese </w:t>
      </w:r>
      <w:r w:rsidR="00D80C36">
        <w:t>werden ebenfalls als Grundlage für Verständnis und Mitgestaltung gesellschaftlicher Entwicklungen benötigt.</w:t>
      </w:r>
      <w:r w:rsidR="00A24450">
        <w:t xml:space="preserve"> </w:t>
      </w:r>
    </w:p>
    <w:p w14:paraId="6C7CF8B3" w14:textId="77777777" w:rsidR="007B50E2" w:rsidRDefault="007B50E2"/>
    <w:p w14:paraId="5886A5AA" w14:textId="39C139F7" w:rsidR="007B50E2" w:rsidRDefault="007B50E2">
      <w:r>
        <w:t>„</w:t>
      </w:r>
      <w:r w:rsidRPr="007B50E2">
        <w:t>Die Studie belegt hervorragend, dass rechnen, messen, schätzen nur scheinbar neutrale Kulturtechniken sind. Empirisch fundiert und im Kontext des Alltäglichen wird Numeralität als soziale Praktik kollektiv und individuell reflektiert - ausgehend von den Menschen in ihren Lebenszusammenhängen.</w:t>
      </w:r>
      <w:r>
        <w:t>“</w:t>
      </w:r>
      <w:r w:rsidRPr="007B50E2">
        <w:t xml:space="preserve"> </w:t>
      </w:r>
      <w:r>
        <w:t>(</w:t>
      </w:r>
      <w:r w:rsidRPr="007B50E2">
        <w:t>Sabine Schmidt-Lauff, Professorin für Weiterbildung und lebenslanges Lernen an der Helmut-Schmidt-Universität Hamburg/UniBW Hamburg</w:t>
      </w:r>
      <w:r>
        <w:t>)</w:t>
      </w:r>
    </w:p>
    <w:p w14:paraId="7277D4BE" w14:textId="1DA26BE5" w:rsidR="00A24450" w:rsidRDefault="00A24450"/>
    <w:p w14:paraId="7B11DF3E" w14:textId="34B9CC6F" w:rsidR="00A24450" w:rsidRDefault="00A24450">
      <w:r>
        <w:t xml:space="preserve">Das Buch richtet sich </w:t>
      </w:r>
      <w:r w:rsidR="008B0A5E">
        <w:t>vornehmlich an</w:t>
      </w:r>
      <w:r w:rsidR="006D2E9F">
        <w:t xml:space="preserve"> </w:t>
      </w:r>
      <w:proofErr w:type="gramStart"/>
      <w:r w:rsidR="008B0A5E">
        <w:t>Praktiker:innen</w:t>
      </w:r>
      <w:proofErr w:type="gramEnd"/>
      <w:r w:rsidR="008B0A5E">
        <w:t xml:space="preserve"> wie Wissenschaftler:innen der Erwachsenenbildung, aber auch an Menschen in Entscheidungspositionen von Weiterbildung, Politik und Wirtschaft.</w:t>
      </w:r>
    </w:p>
    <w:p w14:paraId="42BB5AB6" w14:textId="2893CE83" w:rsidR="00671878" w:rsidRDefault="00671878"/>
    <w:p w14:paraId="720A4044" w14:textId="6D64EFA4" w:rsidR="00671878" w:rsidRPr="00657738" w:rsidRDefault="00671878" w:rsidP="00671878">
      <w:pPr>
        <w:rPr>
          <w:b/>
        </w:rPr>
      </w:pPr>
      <w:r w:rsidRPr="00657738">
        <w:rPr>
          <w:b/>
        </w:rPr>
        <w:t xml:space="preserve">Die Autorinnen </w:t>
      </w:r>
    </w:p>
    <w:p w14:paraId="544A4669" w14:textId="77777777" w:rsidR="00671878" w:rsidRPr="00671878" w:rsidRDefault="00671878" w:rsidP="00671878"/>
    <w:p w14:paraId="0E505410" w14:textId="63A999C4" w:rsidR="00671878" w:rsidRPr="00671878" w:rsidRDefault="00671878" w:rsidP="00671878">
      <w:r w:rsidRPr="00671878">
        <w:t>Dr. Melanie Benz-Gydat (1983) ist an der Professur für Erwachsenenbildung der HSU/UnivBw Hamburg</w:t>
      </w:r>
      <w:r w:rsidR="004069F4">
        <w:t xml:space="preserve"> tätig</w:t>
      </w:r>
      <w:r w:rsidRPr="00671878">
        <w:t xml:space="preserve">. Ihre Forschungsschwerpunkte sind Professions- und </w:t>
      </w:r>
      <w:r w:rsidRPr="00671878">
        <w:lastRenderedPageBreak/>
        <w:t>Professionalitätsforschung in der Disziplin der Erwachsenenbildung/Weiterbildung, Lehr-Lernforschung in der Erwachsenenbildung, Alphabetisierung und Grundbildung.</w:t>
      </w:r>
    </w:p>
    <w:p w14:paraId="3AB597E5" w14:textId="14E966CE" w:rsidR="00671878" w:rsidRPr="00671878" w:rsidRDefault="00671878" w:rsidP="00671878">
      <w:r w:rsidRPr="00671878">
        <w:br/>
        <w:t>Thea Klüver, M.A. (1992) ist an der Professur für Erwachsenenbildung der HSU/UnivBw Hamburg</w:t>
      </w:r>
      <w:r w:rsidR="004069F4">
        <w:t xml:space="preserve"> tätig</w:t>
      </w:r>
      <w:r w:rsidRPr="00671878">
        <w:t xml:space="preserve">. Ihre Forschungsschwerpunkte sind subjektwissenschaftliche Lehr-Lernforschung, </w:t>
      </w:r>
      <w:r w:rsidR="004069F4">
        <w:t xml:space="preserve">u.a. </w:t>
      </w:r>
      <w:r w:rsidRPr="00671878">
        <w:t>im Rahmen von Alphabetisierung und Grundbildung, Literalität und Numeralität.</w:t>
      </w:r>
      <w:r w:rsidRPr="00671878">
        <w:br/>
      </w:r>
    </w:p>
    <w:p w14:paraId="6390FADD" w14:textId="56E4A008" w:rsidR="00671878" w:rsidRPr="004714E7" w:rsidRDefault="00671878" w:rsidP="00671878">
      <w:r w:rsidRPr="00671878">
        <w:t xml:space="preserve">Dr. Antje Pabst (1975) ist an der </w:t>
      </w:r>
      <w:r w:rsidR="004069F4">
        <w:t xml:space="preserve">Professur für Erwachsenenbildung der </w:t>
      </w:r>
      <w:r w:rsidRPr="00671878">
        <w:t>HSU/UnivBw Hamburg</w:t>
      </w:r>
      <w:r w:rsidR="004069F4">
        <w:t xml:space="preserve"> tätig</w:t>
      </w:r>
      <w:r w:rsidRPr="00671878">
        <w:t>. Ihre Forschungsschwerpunkte sind subjektwissenschaftliche Forschung im Rahmen von Erwachsenenbildung, (Aus-) und Weiterbildung, Beruf und Beruflichkeit, Bildungsurlaub, Alphabetisierung und Grundbildung.</w:t>
      </w:r>
      <w:r w:rsidRPr="00671878">
        <w:br/>
      </w:r>
      <w:r w:rsidRPr="00671878">
        <w:br/>
        <w:t xml:space="preserve">Prof. Dr. Christine Zeuner (1959) ist Professorin </w:t>
      </w:r>
      <w:r w:rsidR="004069F4">
        <w:t xml:space="preserve">für </w:t>
      </w:r>
      <w:r w:rsidRPr="00671878">
        <w:t>Erwachsenenbildung an der HSU/UnivBw Hamburg. Ihre Forschungsschwerpunkte sind politische Bildung, historische und internationale Erwachsenenbildungsforschung, Literalitäts- und Numeralitätsforschung, Forschung zu Bildungsurlaub/Bildungsfreistellung, Adressaten-, Zielgruppen- und Teilnehmendenforschung.</w:t>
      </w:r>
      <w:r w:rsidRPr="004714E7">
        <w:t xml:space="preserve"> </w:t>
      </w:r>
    </w:p>
    <w:p w14:paraId="49663BA0" w14:textId="77777777" w:rsidR="00671878" w:rsidRPr="0039055D" w:rsidRDefault="00671878"/>
    <w:p w14:paraId="372E3715" w14:textId="651CD490" w:rsidR="0039055D" w:rsidRPr="00657738" w:rsidRDefault="00A24450">
      <w:pPr>
        <w:rPr>
          <w:rFonts w:cstheme="minorHAnsi"/>
          <w:b/>
        </w:rPr>
      </w:pPr>
      <w:r w:rsidRPr="00657738">
        <w:rPr>
          <w:rFonts w:cstheme="minorHAnsi"/>
          <w:b/>
        </w:rPr>
        <w:t>Bibliografische Angaben</w:t>
      </w:r>
    </w:p>
    <w:p w14:paraId="327FF73A" w14:textId="723C4ADA" w:rsidR="00343CB5" w:rsidRDefault="00343CB5">
      <w:pPr>
        <w:rPr>
          <w:rFonts w:cstheme="minorHAnsi"/>
        </w:rPr>
      </w:pPr>
    </w:p>
    <w:p w14:paraId="0E1084C9" w14:textId="2D13A4DF" w:rsidR="00343CB5" w:rsidRDefault="007476BD">
      <w:r>
        <w:t xml:space="preserve">Benz-Gydat, Melanie; Klüver, Thea; Pabst, Antje &amp; Zeuner, Christine (2022) Ohne Rechnen kommt man im Leben nicht weiter. Numeralität als soziale Praxis aus der biographischen Perspektive älterer Menschen. Bielefeld: wbv Publikation. </w:t>
      </w:r>
      <w:hyperlink r:id="rId9" w:history="1">
        <w:r w:rsidR="00316EBE" w:rsidRPr="00337D9B">
          <w:rPr>
            <w:rStyle w:val="Hyperlink"/>
          </w:rPr>
          <w:t>https://doi.org/10.3278/9783763970322</w:t>
        </w:r>
      </w:hyperlink>
    </w:p>
    <w:p w14:paraId="14780F06" w14:textId="0DCE1DC9" w:rsidR="007476BD" w:rsidRDefault="007476BD">
      <w:pPr>
        <w:rPr>
          <w:rFonts w:cstheme="minorHAnsi"/>
        </w:rPr>
      </w:pPr>
    </w:p>
    <w:p w14:paraId="37596529" w14:textId="3949BF28" w:rsidR="007476BD" w:rsidRPr="006D2E9F" w:rsidRDefault="007476BD">
      <w:pPr>
        <w:rPr>
          <w:rFonts w:cstheme="minorHAnsi"/>
        </w:rPr>
      </w:pPr>
      <w:r w:rsidRPr="006D2E9F">
        <w:rPr>
          <w:rFonts w:cstheme="minorHAnsi"/>
        </w:rPr>
        <w:t>E-Book im Open Access:</w:t>
      </w:r>
    </w:p>
    <w:p w14:paraId="5D373A78" w14:textId="737EFF91" w:rsidR="007476BD" w:rsidRPr="006D2E9F" w:rsidRDefault="00000000" w:rsidP="0016766C">
      <w:pPr>
        <w:rPr>
          <w:rFonts w:cstheme="minorHAnsi"/>
        </w:rPr>
      </w:pPr>
      <w:hyperlink r:id="rId10" w:history="1">
        <w:r w:rsidR="0016766C" w:rsidRPr="00111A2A">
          <w:rPr>
            <w:rStyle w:val="Hyperlink"/>
            <w:rFonts w:cstheme="minorHAnsi"/>
          </w:rPr>
          <w:t>https://www.wbv.de/shop/openaccess-download/I70322</w:t>
        </w:r>
      </w:hyperlink>
      <w:r w:rsidR="0016766C">
        <w:rPr>
          <w:rFonts w:cstheme="minorHAnsi"/>
        </w:rPr>
        <w:t xml:space="preserve"> </w:t>
      </w:r>
    </w:p>
    <w:sectPr w:rsidR="007476BD" w:rsidRPr="006D2E9F" w:rsidSect="00CA19B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5D"/>
    <w:rsid w:val="00076E34"/>
    <w:rsid w:val="0016766C"/>
    <w:rsid w:val="00176AEC"/>
    <w:rsid w:val="00316EBE"/>
    <w:rsid w:val="00343CB5"/>
    <w:rsid w:val="00366145"/>
    <w:rsid w:val="0039055D"/>
    <w:rsid w:val="003D6851"/>
    <w:rsid w:val="004069F4"/>
    <w:rsid w:val="00525D93"/>
    <w:rsid w:val="006377C3"/>
    <w:rsid w:val="00657738"/>
    <w:rsid w:val="00671878"/>
    <w:rsid w:val="00691160"/>
    <w:rsid w:val="006D2E9F"/>
    <w:rsid w:val="00707AB7"/>
    <w:rsid w:val="007476BD"/>
    <w:rsid w:val="007B50E2"/>
    <w:rsid w:val="008B0A5E"/>
    <w:rsid w:val="00A043D7"/>
    <w:rsid w:val="00A24450"/>
    <w:rsid w:val="00B87A9B"/>
    <w:rsid w:val="00BD79CF"/>
    <w:rsid w:val="00CA19B9"/>
    <w:rsid w:val="00D10F13"/>
    <w:rsid w:val="00D80C36"/>
    <w:rsid w:val="00D8403F"/>
    <w:rsid w:val="00DD7F8E"/>
    <w:rsid w:val="00EC199D"/>
    <w:rsid w:val="00F135A3"/>
    <w:rsid w:val="00FD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5057"/>
  <w15:chartTrackingRefBased/>
  <w15:docId w15:val="{381B9DB1-68AE-5C47-A554-62FB1D44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14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14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F135A3"/>
  </w:style>
  <w:style w:type="character" w:styleId="Kommentarzeichen">
    <w:name w:val="annotation reference"/>
    <w:basedOn w:val="Absatz-Standardschriftart"/>
    <w:uiPriority w:val="99"/>
    <w:semiHidden/>
    <w:unhideWhenUsed/>
    <w:rsid w:val="00A244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2445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2445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44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4450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476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76B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676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wbv.de/shop/openaccess-download/I7032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oi.org/10.3278/978376397032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9B8B4F5E637F43AF8AED62ED19A79E" ma:contentTypeVersion="16" ma:contentTypeDescription="Ein neues Dokument erstellen." ma:contentTypeScope="" ma:versionID="1b94d4a0b3de2fb6c80239d37044f1ee">
  <xsd:schema xmlns:xsd="http://www.w3.org/2001/XMLSchema" xmlns:xs="http://www.w3.org/2001/XMLSchema" xmlns:p="http://schemas.microsoft.com/office/2006/metadata/properties" xmlns:ns2="1bba72f6-2060-4661-9cfe-97e4e2f7da5f" xmlns:ns3="dd9e0e75-209e-44b8-975e-d4794545e8e4" targetNamespace="http://schemas.microsoft.com/office/2006/metadata/properties" ma:root="true" ma:fieldsID="7cea84bd2347736e79df7f1067057f06" ns2:_="" ns3:_="">
    <xsd:import namespace="1bba72f6-2060-4661-9cfe-97e4e2f7da5f"/>
    <xsd:import namespace="dd9e0e75-209e-44b8-975e-d4794545e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a72f6-2060-4661-9cfe-97e4e2f7d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db0bd3c-7ed0-4f4b-94bf-933411465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e0e75-209e-44b8-975e-d4794545e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8d46ec-d00a-4989-b33b-4ba017194e0f}" ma:internalName="TaxCatchAll" ma:showField="CatchAllData" ma:web="dd9e0e75-209e-44b8-975e-d4794545e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a72f6-2060-4661-9cfe-97e4e2f7da5f">
      <Terms xmlns="http://schemas.microsoft.com/office/infopath/2007/PartnerControls"/>
    </lcf76f155ced4ddcb4097134ff3c332f>
    <TaxCatchAll xmlns="dd9e0e75-209e-44b8-975e-d4794545e8e4" xsi:nil="true"/>
  </documentManagement>
</p:properties>
</file>

<file path=customXml/itemProps1.xml><?xml version="1.0" encoding="utf-8"?>
<ds:datastoreItem xmlns:ds="http://schemas.openxmlformats.org/officeDocument/2006/customXml" ds:itemID="{7FFC23DF-9553-430D-871E-D2267291AB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95E1D7-5BE4-4B42-A248-881ACA6A2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D0913-5A6F-490C-9066-62C8EFCA4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a72f6-2060-4661-9cfe-97e4e2f7da5f"/>
    <ds:schemaRef ds:uri="dd9e0e75-209e-44b8-975e-d4794545e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BCC431-9AF2-4F07-A8A6-AC3E285B0276}">
  <ds:schemaRefs>
    <ds:schemaRef ds:uri="http://schemas.microsoft.com/office/2006/metadata/properties"/>
    <ds:schemaRef ds:uri="http://schemas.microsoft.com/office/infopath/2007/PartnerControls"/>
    <ds:schemaRef ds:uri="1bba72f6-2060-4661-9cfe-97e4e2f7da5f"/>
    <ds:schemaRef ds:uri="dd9e0e75-209e-44b8-975e-d4794545e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Kilian, Lars</cp:lastModifiedBy>
  <cp:revision>4</cp:revision>
  <dcterms:created xsi:type="dcterms:W3CDTF">2023-04-03T10:41:00Z</dcterms:created>
  <dcterms:modified xsi:type="dcterms:W3CDTF">2023-04-03T13:47:00Z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0x010100DA9B8B4F5E637F43AF8AED62ED19A79E</vt:lpwstr>
  </property>
  <property fmtid="{D5CDD505-2E9C-101B-9397-08002B2CF9AE}" pid="3" name="MediaServiceImageTags">
    <vt:lpwstr/>
  </property>
</Properties>
</file>